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8"/>
          <w:szCs w:val="48"/>
        </w:rPr>
      </w:pPr>
      <w:bookmarkStart w:id="0" w:name="_GoBack"/>
      <w:bookmarkEnd w:id="0"/>
    </w:p>
    <w:p>
      <w:pPr>
        <w:jc w:val="center"/>
        <w:rPr>
          <w:rFonts w:eastAsia="方正小标宋_GBK"/>
          <w:sz w:val="48"/>
          <w:szCs w:val="48"/>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w:t>
      </w:r>
      <w:r>
        <w:rPr>
          <w:rFonts w:hint="eastAsia" w:eastAsia="方正小标宋_GBK"/>
          <w:sz w:val="48"/>
          <w:szCs w:val="48"/>
          <w:lang w:eastAsia="zh-CN"/>
        </w:rPr>
        <w:t>第一小</w:t>
      </w:r>
      <w:r>
        <w:rPr>
          <w:rFonts w:hint="eastAsia" w:eastAsia="方正小标宋_GBK"/>
          <w:sz w:val="48"/>
          <w:szCs w:val="48"/>
        </w:rPr>
        <w:t>学</w:t>
      </w:r>
      <w:r>
        <w:rPr>
          <w:rFonts w:eastAsia="方正小标宋_GBK"/>
          <w:sz w:val="48"/>
          <w:szCs w:val="48"/>
        </w:rPr>
        <w:t>整体</w:t>
      </w:r>
      <w:r>
        <w:rPr>
          <w:rFonts w:hint="eastAsia" w:eastAsia="方正小标宋_GBK"/>
          <w:sz w:val="48"/>
          <w:szCs w:val="48"/>
        </w:rPr>
        <w:t>支</w:t>
      </w:r>
      <w:r>
        <w:rPr>
          <w:rFonts w:eastAsia="方正小标宋_GBK"/>
          <w:sz w:val="48"/>
          <w:szCs w:val="48"/>
        </w:rPr>
        <w:t>出绩效自评报告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rPr>
          <w:rFonts w:hint="eastAsia" w:eastAsia="黑体"/>
          <w:sz w:val="36"/>
          <w:szCs w:val="36"/>
          <w:lang w:val="en-US" w:eastAsia="zh-CN"/>
        </w:rPr>
      </w:pPr>
      <w:r>
        <w:rPr>
          <w:rFonts w:eastAsia="黑体"/>
          <w:sz w:val="36"/>
          <w:szCs w:val="36"/>
        </w:rPr>
        <w:t>单位名称（盖章）：</w:t>
      </w:r>
      <w:r>
        <w:rPr>
          <w:rFonts w:hint="eastAsia" w:eastAsia="黑体"/>
          <w:sz w:val="36"/>
          <w:szCs w:val="36"/>
        </w:rPr>
        <w:t>江永县</w:t>
      </w:r>
      <w:r>
        <w:rPr>
          <w:rFonts w:hint="eastAsia" w:eastAsia="黑体"/>
          <w:sz w:val="36"/>
          <w:szCs w:val="36"/>
          <w:lang w:eastAsia="zh-CN"/>
        </w:rPr>
        <w:t>第一小学</w:t>
      </w: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ind w:left="2879" w:leftChars="228" w:hanging="2400" w:hangingChars="500"/>
        <w:jc w:val="both"/>
        <w:rPr>
          <w:rFonts w:eastAsia="方正小标宋_GBK"/>
          <w:sz w:val="48"/>
          <w:szCs w:val="48"/>
        </w:rPr>
      </w:pPr>
      <w:r>
        <w:rPr>
          <w:rFonts w:hint="eastAsia" w:ascii="方正小标宋_GBK" w:hAnsi="方正小标宋_GBK" w:eastAsia="方正小标宋_GBK" w:cs="方正小标宋_GBK"/>
          <w:sz w:val="48"/>
          <w:szCs w:val="48"/>
          <w:lang w:val="en-US" w:eastAsia="zh-CN"/>
        </w:rPr>
        <w:t>2023</w:t>
      </w:r>
      <w:r>
        <w:rPr>
          <w:rFonts w:hint="eastAsia" w:ascii="方正小标宋_GBK" w:hAnsi="方正小标宋_GBK" w:eastAsia="方正小标宋_GBK" w:cs="方正小标宋_GBK"/>
          <w:sz w:val="48"/>
          <w:szCs w:val="48"/>
        </w:rPr>
        <w:t>年度</w:t>
      </w:r>
      <w:r>
        <w:rPr>
          <w:rFonts w:hint="eastAsia" w:ascii="方正小标宋_GBK" w:hAnsi="方正小标宋_GBK" w:eastAsia="方正小标宋_GBK" w:cs="方正小标宋_GBK"/>
          <w:sz w:val="48"/>
          <w:szCs w:val="48"/>
          <w:lang w:eastAsia="zh-CN"/>
        </w:rPr>
        <w:t>江永县第一小学部门</w:t>
      </w:r>
      <w:r>
        <w:rPr>
          <w:rFonts w:hint="eastAsia" w:ascii="方正小标宋_GBK" w:hAnsi="方正小标宋_GBK" w:eastAsia="方正小标宋_GBK" w:cs="方正小标宋_GBK"/>
          <w:sz w:val="48"/>
          <w:szCs w:val="48"/>
        </w:rPr>
        <w:t>整体支</w:t>
      </w:r>
      <w:r>
        <w:rPr>
          <w:rFonts w:eastAsia="方正小标宋_GBK"/>
          <w:sz w:val="48"/>
          <w:szCs w:val="48"/>
        </w:rPr>
        <w:t>出绩效自评报告</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为贯彻落实党“全面实施绩效管理”的要求，进一步规范</w:t>
      </w:r>
      <w:r>
        <w:rPr>
          <w:rFonts w:hint="eastAsia" w:ascii="仿宋_GB2312" w:hAnsi="仿宋_GB2312" w:eastAsia="仿宋_GB2312" w:cs="仿宋_GB2312"/>
          <w:sz w:val="32"/>
          <w:szCs w:val="32"/>
          <w:lang w:eastAsia="zh-CN"/>
        </w:rPr>
        <w:t>和加强预算</w:t>
      </w:r>
      <w:r>
        <w:rPr>
          <w:rFonts w:hint="eastAsia" w:ascii="仿宋_GB2312" w:hAnsi="仿宋_GB2312" w:eastAsia="仿宋_GB2312" w:cs="仿宋_GB2312"/>
          <w:sz w:val="32"/>
          <w:szCs w:val="32"/>
        </w:rPr>
        <w:t>资金管理，提高财政资金使用效益，根据《中共中央  国务院关于全面实施预算绩效管理的意见》（中发〔2018〕34号）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《中共湖南省委办公厅 湖南省人民政府办公厅关于全面实施预算绩效管理的实施意见》（湘办发〔2019〕10号）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《湖南省预算</w:t>
      </w:r>
      <w:r>
        <w:rPr>
          <w:rFonts w:hint="eastAsia" w:ascii="仿宋_GB2312" w:hAnsi="仿宋_GB2312" w:eastAsia="仿宋_GB2312" w:cs="仿宋_GB2312"/>
          <w:sz w:val="32"/>
          <w:szCs w:val="32"/>
          <w:lang w:eastAsia="zh-CN"/>
        </w:rPr>
        <w:t>支出绩效评价管理办法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湘财绩</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《湖南省</w:t>
      </w:r>
      <w:r>
        <w:rPr>
          <w:rFonts w:hint="eastAsia" w:ascii="仿宋_GB2312" w:hAnsi="仿宋_GB2312" w:eastAsia="仿宋_GB2312" w:cs="仿宋_GB2312"/>
          <w:sz w:val="32"/>
          <w:szCs w:val="32"/>
          <w:lang w:eastAsia="zh-CN"/>
        </w:rPr>
        <w:t>省级预算部门绩效自评操作规程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湘财绩</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江永县</w:t>
      </w:r>
      <w:r>
        <w:rPr>
          <w:rFonts w:hint="eastAsia" w:ascii="仿宋_GB2312" w:hAnsi="仿宋_GB2312" w:eastAsia="仿宋_GB2312" w:cs="仿宋_GB2312"/>
          <w:sz w:val="32"/>
          <w:szCs w:val="32"/>
        </w:rPr>
        <w:t>预算绩效管理暂行办法》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县级预算支出绩效评价管理办法江永财发〔2021〕93号）的要求，</w:t>
      </w:r>
      <w:r>
        <w:rPr>
          <w:rFonts w:hint="eastAsia" w:ascii="仿宋_GB2312" w:hAnsi="仿宋_GB2312" w:eastAsia="仿宋_GB2312" w:cs="仿宋_GB2312"/>
          <w:sz w:val="32"/>
          <w:szCs w:val="32"/>
          <w:lang w:eastAsia="zh-CN"/>
        </w:rPr>
        <w:t>对本校的</w:t>
      </w:r>
      <w:r>
        <w:rPr>
          <w:rFonts w:hint="eastAsia" w:ascii="仿宋_GB2312" w:hAnsi="仿宋_GB2312" w:eastAsia="仿宋_GB2312" w:cs="仿宋_GB2312"/>
          <w:sz w:val="32"/>
          <w:szCs w:val="32"/>
          <w:lang w:val="en-US" w:eastAsia="zh-CN"/>
        </w:rPr>
        <w:t>2023年度整体部门支出</w:t>
      </w:r>
      <w:r>
        <w:rPr>
          <w:rFonts w:hint="eastAsia" w:ascii="仿宋_GB2312" w:hAnsi="仿宋_GB2312" w:eastAsia="仿宋_GB2312" w:cs="仿宋_GB2312"/>
          <w:sz w:val="32"/>
          <w:szCs w:val="32"/>
        </w:rPr>
        <w:t>资金进行了认真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仔细的</w:t>
      </w:r>
      <w:r>
        <w:rPr>
          <w:rFonts w:hint="eastAsia" w:ascii="仿宋_GB2312" w:hAnsi="仿宋_GB2312" w:eastAsia="仿宋_GB2312" w:cs="仿宋_GB2312"/>
          <w:sz w:val="32"/>
          <w:szCs w:val="32"/>
          <w:lang w:eastAsia="zh-CN"/>
        </w:rPr>
        <w:t>绩效</w:t>
      </w:r>
      <w:r>
        <w:rPr>
          <w:rFonts w:hint="eastAsia" w:ascii="仿宋_GB2312" w:hAnsi="仿宋_GB2312" w:eastAsia="仿宋_GB2312" w:cs="仿宋_GB2312"/>
          <w:sz w:val="32"/>
          <w:szCs w:val="32"/>
        </w:rPr>
        <w:t>自评。现将有关情况</w:t>
      </w:r>
      <w:r>
        <w:rPr>
          <w:rFonts w:hint="eastAsia" w:ascii="仿宋_GB2312" w:hAnsi="仿宋_GB2312" w:eastAsia="仿宋_GB2312" w:cs="仿宋_GB2312"/>
          <w:sz w:val="32"/>
          <w:szCs w:val="32"/>
          <w:lang w:eastAsia="zh-CN"/>
        </w:rPr>
        <w:t>汇报</w:t>
      </w:r>
      <w:r>
        <w:rPr>
          <w:rFonts w:hint="eastAsia" w:ascii="仿宋_GB2312" w:hAnsi="仿宋_GB2312" w:eastAsia="仿宋_GB2312" w:cs="仿宋_GB2312"/>
          <w:sz w:val="32"/>
          <w:szCs w:val="32"/>
        </w:rPr>
        <w:t>如下：</w:t>
      </w:r>
    </w:p>
    <w:p>
      <w:pPr>
        <w:spacing w:line="600" w:lineRule="exact"/>
        <w:rPr>
          <w:rFonts w:eastAsia="黑体"/>
          <w:b/>
          <w:bCs/>
          <w:sz w:val="32"/>
          <w:szCs w:val="32"/>
        </w:rPr>
      </w:pPr>
      <w:r>
        <w:rPr>
          <w:rFonts w:eastAsia="黑体"/>
          <w:b/>
          <w:bCs/>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（一）部门基本情况</w:t>
      </w:r>
    </w:p>
    <w:p>
      <w:pPr>
        <w:spacing w:before="0"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1、江永县第一小学</w:t>
      </w:r>
      <w:r>
        <w:rPr>
          <w:rFonts w:hint="eastAsia" w:ascii="仿宋_GB2312" w:hAnsi="仿宋_GB2312" w:eastAsia="仿宋_GB2312" w:cs="仿宋_GB2312"/>
          <w:sz w:val="32"/>
          <w:szCs w:val="32"/>
        </w:rPr>
        <w:t>现有在编职工</w:t>
      </w:r>
      <w:r>
        <w:rPr>
          <w:rFonts w:hint="eastAsia" w:ascii="仿宋_GB2312" w:hAnsi="仿宋_GB2312" w:eastAsia="仿宋_GB2312" w:cs="仿宋_GB2312"/>
          <w:sz w:val="32"/>
          <w:szCs w:val="32"/>
          <w:lang w:val="en-US" w:eastAsia="zh-CN"/>
        </w:rPr>
        <w:t>141</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rPr>
        <w:t>事业编制</w:t>
      </w:r>
      <w:r>
        <w:rPr>
          <w:rFonts w:hint="eastAsia" w:ascii="仿宋_GB2312" w:hAnsi="仿宋_GB2312" w:eastAsia="仿宋_GB2312" w:cs="仿宋_GB2312"/>
          <w:sz w:val="32"/>
          <w:szCs w:val="32"/>
          <w:lang w:val="en-US" w:eastAsia="zh-CN"/>
        </w:rPr>
        <w:t>141人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退休人员</w:t>
      </w:r>
      <w:r>
        <w:rPr>
          <w:rFonts w:hint="eastAsia" w:ascii="仿宋_GB2312" w:hAnsi="仿宋_GB2312" w:eastAsia="仿宋_GB2312" w:cs="仿宋_GB2312"/>
          <w:sz w:val="32"/>
          <w:szCs w:val="32"/>
          <w:lang w:val="en-US" w:eastAsia="zh-CN"/>
        </w:rPr>
        <w:t>94</w:t>
      </w:r>
      <w:r>
        <w:rPr>
          <w:rFonts w:hint="eastAsia" w:ascii="仿宋_GB2312" w:hAnsi="仿宋_GB2312" w:eastAsia="仿宋_GB2312" w:cs="仿宋_GB2312"/>
          <w:sz w:val="32"/>
          <w:szCs w:val="32"/>
        </w:rPr>
        <w:t>人。</w:t>
      </w:r>
    </w:p>
    <w:p>
      <w:pPr>
        <w:spacing w:line="520" w:lineRule="exact"/>
        <w:ind w:firstLine="643" w:firstLineChars="200"/>
        <w:rPr>
          <w:rFonts w:hint="eastAsia" w:ascii="CESI楷体-GB2312" w:hAnsi="CESI楷体-GB2312" w:eastAsia="CESI楷体-GB2312" w:cs="CESI楷体-GB2312"/>
          <w:b/>
          <w:bCs/>
          <w:kern w:val="0"/>
          <w:sz w:val="32"/>
          <w:szCs w:val="32"/>
        </w:rPr>
      </w:pPr>
      <w:r>
        <w:rPr>
          <w:rFonts w:hint="eastAsia" w:ascii="CESI楷体-GB2312" w:hAnsi="CESI楷体-GB2312" w:eastAsia="CESI楷体-GB2312" w:cs="CESI楷体-GB2312"/>
          <w:b/>
          <w:bCs/>
          <w:kern w:val="0"/>
          <w:sz w:val="32"/>
          <w:szCs w:val="32"/>
        </w:rPr>
        <w:t>（二</w:t>
      </w:r>
      <w:r>
        <w:rPr>
          <w:rFonts w:hint="eastAsia" w:ascii="CESI楷体-GB2312" w:hAnsi="CESI楷体-GB2312" w:eastAsia="CESI楷体-GB2312" w:cs="CESI楷体-GB2312"/>
          <w:b/>
          <w:bCs/>
          <w:kern w:val="0"/>
          <w:sz w:val="32"/>
          <w:szCs w:val="32"/>
          <w:lang w:eastAsia="zh-CN"/>
        </w:rPr>
        <w:t>）</w:t>
      </w:r>
      <w:r>
        <w:rPr>
          <w:rFonts w:hint="eastAsia" w:ascii="CESI楷体-GB2312" w:hAnsi="CESI楷体-GB2312" w:eastAsia="CESI楷体-GB2312" w:cs="CESI楷体-GB2312"/>
          <w:b/>
          <w:bCs/>
          <w:kern w:val="0"/>
          <w:sz w:val="32"/>
          <w:szCs w:val="32"/>
        </w:rPr>
        <w:t>项目绩效目标</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项目绩效总目标：充分发挥资金经济性、效率性和效益性，</w:t>
      </w:r>
      <w:r>
        <w:rPr>
          <w:rFonts w:hint="eastAsia" w:ascii="仿宋_GB2312" w:hAnsi="仿宋_GB2312" w:eastAsia="仿宋_GB2312" w:cs="仿宋_GB2312"/>
          <w:sz w:val="32"/>
          <w:szCs w:val="32"/>
        </w:rPr>
        <w:t>贯彻落实党和国家的教育方针政策、法律法规，全</w:t>
      </w:r>
      <w:r>
        <w:rPr>
          <w:rFonts w:hint="eastAsia" w:ascii="仿宋_GB2312" w:hAnsi="仿宋_GB2312" w:eastAsia="仿宋_GB2312" w:cs="仿宋_GB2312"/>
          <w:sz w:val="32"/>
          <w:szCs w:val="32"/>
          <w:lang w:eastAsia="zh-CN"/>
        </w:rPr>
        <w:t>面</w:t>
      </w:r>
      <w:r>
        <w:rPr>
          <w:rFonts w:hint="eastAsia" w:ascii="仿宋_GB2312" w:hAnsi="仿宋_GB2312" w:eastAsia="仿宋_GB2312" w:cs="仿宋_GB2312"/>
          <w:sz w:val="32"/>
          <w:szCs w:val="32"/>
        </w:rPr>
        <w:t>实施素质教育，努力提高教育教学质量，稳步推进</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教育事业持续健康协调发展。</w:t>
      </w:r>
      <w:r>
        <w:rPr>
          <w:rFonts w:hint="eastAsia" w:ascii="仿宋_GB2312" w:hAnsi="仿宋_GB2312" w:eastAsia="仿宋_GB2312" w:cs="仿宋_GB2312"/>
          <w:sz w:val="32"/>
          <w:szCs w:val="32"/>
          <w:lang w:val="en-US" w:eastAsia="zh-CN"/>
        </w:rPr>
        <w:t xml:space="preserve">  </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项目绩效阶段性目标：改善办学条件，推进学校建设，优化整合教学资源，提升办学条件和质量。</w:t>
      </w:r>
    </w:p>
    <w:p>
      <w:pPr>
        <w:pStyle w:val="7"/>
        <w:spacing w:line="600" w:lineRule="exact"/>
        <w:ind w:left="0" w:leftChars="0" w:firstLine="0" w:firstLineChars="0"/>
        <w:rPr>
          <w:rFonts w:hint="eastAsia" w:ascii="黑体" w:hAnsi="黑体" w:eastAsia="黑体" w:cs="黑体"/>
          <w:b/>
          <w:bCs/>
          <w:sz w:val="32"/>
          <w:szCs w:val="32"/>
        </w:rPr>
      </w:pPr>
      <w:r>
        <w:rPr>
          <w:rFonts w:hint="eastAsia" w:ascii="黑体" w:hAnsi="黑体" w:eastAsia="黑体" w:cs="黑体"/>
          <w:b/>
          <w:bCs/>
          <w:sz w:val="32"/>
          <w:szCs w:val="32"/>
        </w:rPr>
        <w:t>二、一般公共预算支出情况</w:t>
      </w:r>
    </w:p>
    <w:p>
      <w:pPr>
        <w:pStyle w:val="7"/>
        <w:spacing w:line="600" w:lineRule="exact"/>
        <w:ind w:left="0" w:leftChars="0" w:firstLine="643" w:firstLineChars="200"/>
        <w:rPr>
          <w:rFonts w:hint="eastAsia" w:ascii="楷体" w:hAnsi="楷体" w:eastAsia="楷体" w:cs="楷体"/>
          <w:b/>
          <w:sz w:val="32"/>
          <w:szCs w:val="32"/>
        </w:rPr>
      </w:pPr>
      <w:r>
        <w:rPr>
          <w:rFonts w:hint="eastAsia" w:ascii="楷体" w:hAnsi="楷体" w:eastAsia="楷体" w:cs="楷体"/>
          <w:b/>
          <w:sz w:val="32"/>
          <w:szCs w:val="32"/>
        </w:rPr>
        <w:t>（一）基本支出情况</w:t>
      </w:r>
    </w:p>
    <w:p>
      <w:pPr>
        <w:pStyle w:val="7"/>
        <w:spacing w:line="600" w:lineRule="exact"/>
        <w:ind w:firstLine="643"/>
        <w:rPr>
          <w:rFonts w:hint="eastAsia" w:ascii="宋体" w:hAnsi="宋体" w:eastAsia="宋体" w:cs="宋体"/>
          <w:b w:val="0"/>
          <w:bCs w:val="0"/>
          <w:sz w:val="28"/>
          <w:szCs w:val="28"/>
        </w:rPr>
      </w:pPr>
      <w:r>
        <w:rPr>
          <w:rFonts w:hint="eastAsia" w:ascii="仿宋_GB2312" w:hAnsi="仿宋_GB2312" w:eastAsia="仿宋_GB2312" w:cs="仿宋_GB2312"/>
          <w:b w:val="0"/>
          <w:bCs w:val="0"/>
          <w:kern w:val="0"/>
          <w:sz w:val="32"/>
          <w:szCs w:val="32"/>
        </w:rPr>
        <w:t>202</w:t>
      </w:r>
      <w:r>
        <w:rPr>
          <w:rFonts w:hint="eastAsia" w:ascii="仿宋_GB2312" w:hAnsi="仿宋_GB2312" w:eastAsia="仿宋_GB2312" w:cs="仿宋_GB2312"/>
          <w:b w:val="0"/>
          <w:bCs w:val="0"/>
          <w:kern w:val="0"/>
          <w:sz w:val="32"/>
          <w:szCs w:val="32"/>
          <w:lang w:val="en-US" w:eastAsia="zh-CN"/>
        </w:rPr>
        <w:t>3</w:t>
      </w:r>
      <w:r>
        <w:rPr>
          <w:rFonts w:hint="eastAsia" w:ascii="仿宋_GB2312" w:hAnsi="仿宋_GB2312" w:eastAsia="仿宋_GB2312" w:cs="仿宋_GB2312"/>
          <w:b w:val="0"/>
          <w:bCs w:val="0"/>
          <w:kern w:val="0"/>
          <w:sz w:val="32"/>
          <w:szCs w:val="32"/>
        </w:rPr>
        <w:t>年度</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val="0"/>
          <w:bCs w:val="0"/>
          <w:kern w:val="0"/>
          <w:sz w:val="32"/>
          <w:szCs w:val="32"/>
        </w:rPr>
        <w:t>江永县</w:t>
      </w:r>
      <w:r>
        <w:rPr>
          <w:rFonts w:hint="eastAsia" w:ascii="仿宋_GB2312" w:hAnsi="仿宋_GB2312" w:eastAsia="仿宋_GB2312" w:cs="仿宋_GB2312"/>
          <w:b w:val="0"/>
          <w:bCs w:val="0"/>
          <w:kern w:val="0"/>
          <w:sz w:val="32"/>
          <w:szCs w:val="32"/>
          <w:lang w:eastAsia="zh-CN"/>
        </w:rPr>
        <w:t>第一小学</w:t>
      </w:r>
      <w:r>
        <w:rPr>
          <w:rFonts w:hint="eastAsia" w:ascii="仿宋_GB2312" w:hAnsi="仿宋_GB2312" w:eastAsia="仿宋_GB2312" w:cs="仿宋_GB2312"/>
          <w:b w:val="0"/>
          <w:bCs w:val="0"/>
          <w:kern w:val="0"/>
          <w:sz w:val="32"/>
          <w:szCs w:val="32"/>
        </w:rPr>
        <w:t>基本支出</w:t>
      </w:r>
      <w:r>
        <w:rPr>
          <w:rFonts w:hint="eastAsia" w:ascii="仿宋_GB2312" w:hAnsi="仿宋_GB2312" w:eastAsia="仿宋_GB2312" w:cs="仿宋_GB2312"/>
          <w:b w:val="0"/>
          <w:bCs w:val="0"/>
          <w:color w:val="auto"/>
          <w:kern w:val="0"/>
          <w:sz w:val="32"/>
          <w:szCs w:val="32"/>
          <w:lang w:val="en-US" w:eastAsia="zh-CN"/>
        </w:rPr>
        <w:t>1744.6243</w:t>
      </w:r>
      <w:r>
        <w:rPr>
          <w:rFonts w:hint="eastAsia" w:ascii="仿宋_GB2312" w:hAnsi="仿宋_GB2312" w:eastAsia="仿宋_GB2312" w:cs="仿宋_GB2312"/>
          <w:b w:val="0"/>
          <w:bCs w:val="0"/>
          <w:kern w:val="0"/>
          <w:sz w:val="32"/>
          <w:szCs w:val="32"/>
        </w:rPr>
        <w:t>万元。</w:t>
      </w:r>
      <w:r>
        <w:rPr>
          <w:rFonts w:hint="eastAsia" w:ascii="仿宋_GB2312" w:hAnsi="仿宋_GB2312" w:eastAsia="仿宋_GB2312" w:cs="仿宋_GB2312"/>
          <w:b w:val="0"/>
          <w:bCs w:val="0"/>
          <w:sz w:val="32"/>
          <w:szCs w:val="32"/>
          <w:lang w:val="en-US" w:eastAsia="zh-CN"/>
        </w:rPr>
        <w:t>主要用于</w:t>
      </w:r>
      <w:r>
        <w:rPr>
          <w:rFonts w:hint="eastAsia" w:ascii="仿宋_GB2312" w:hAnsi="仿宋_GB2312" w:eastAsia="仿宋_GB2312" w:cs="仿宋_GB2312"/>
          <w:b w:val="0"/>
          <w:bCs w:val="0"/>
          <w:kern w:val="0"/>
          <w:sz w:val="32"/>
          <w:szCs w:val="32"/>
          <w:lang w:val="en-US" w:eastAsia="zh-CN"/>
        </w:rPr>
        <w:t>学校的</w:t>
      </w:r>
      <w:r>
        <w:rPr>
          <w:rFonts w:hint="eastAsia" w:ascii="仿宋_GB2312" w:hAnsi="仿宋_GB2312" w:eastAsia="仿宋_GB2312" w:cs="仿宋_GB2312"/>
          <w:b w:val="0"/>
          <w:bCs w:val="0"/>
          <w:sz w:val="32"/>
          <w:szCs w:val="32"/>
          <w:lang w:val="en-US" w:eastAsia="zh-CN"/>
        </w:rPr>
        <w:t>人员工资、办公费、水电费、邮电费、差旅费、车辆运行维护费、公务接待费、培训费、工会经费等。</w:t>
      </w:r>
    </w:p>
    <w:p>
      <w:pPr>
        <w:pStyle w:val="7"/>
        <w:numPr>
          <w:ilvl w:val="0"/>
          <w:numId w:val="0"/>
        </w:numPr>
        <w:spacing w:line="600" w:lineRule="exact"/>
        <w:rPr>
          <w:rFonts w:ascii="Times New Roman" w:hAnsi="Times New Roman" w:eastAsia="黑体"/>
          <w:b/>
          <w:bCs/>
          <w:sz w:val="32"/>
          <w:szCs w:val="32"/>
        </w:rPr>
      </w:pPr>
      <w:r>
        <w:rPr>
          <w:rFonts w:hint="eastAsia" w:ascii="Times New Roman" w:hAnsi="Times New Roman" w:eastAsia="黑体"/>
          <w:b/>
          <w:bCs/>
          <w:sz w:val="32"/>
          <w:szCs w:val="32"/>
          <w:lang w:eastAsia="zh-CN"/>
        </w:rPr>
        <w:t>三、</w:t>
      </w:r>
      <w:r>
        <w:rPr>
          <w:rFonts w:ascii="Times New Roman" w:hAnsi="Times New Roman" w:eastAsia="黑体"/>
          <w:b/>
          <w:bCs/>
          <w:sz w:val="32"/>
          <w:szCs w:val="32"/>
        </w:rPr>
        <w:t>政府性基金预算支出情况</w:t>
      </w:r>
    </w:p>
    <w:p>
      <w:pPr>
        <w:pStyle w:val="7"/>
        <w:numPr>
          <w:ilvl w:val="0"/>
          <w:numId w:val="0"/>
        </w:numPr>
        <w:spacing w:line="60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江永县第一小学</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年度无</w:t>
      </w:r>
      <w:r>
        <w:rPr>
          <w:rFonts w:hint="eastAsia" w:ascii="仿宋_GB2312" w:hAnsi="仿宋_GB2312" w:eastAsia="仿宋_GB2312" w:cs="仿宋_GB2312"/>
          <w:b w:val="0"/>
          <w:bCs w:val="0"/>
          <w:sz w:val="32"/>
          <w:szCs w:val="32"/>
          <w:lang w:eastAsia="zh-CN"/>
        </w:rPr>
        <w:t>政府性基金预算支出。</w:t>
      </w:r>
    </w:p>
    <w:p>
      <w:pPr>
        <w:pStyle w:val="7"/>
        <w:numPr>
          <w:ilvl w:val="0"/>
          <w:numId w:val="0"/>
        </w:numPr>
        <w:spacing w:line="600" w:lineRule="exact"/>
        <w:rPr>
          <w:rFonts w:ascii="Times New Roman" w:hAnsi="Times New Roman" w:eastAsia="黑体"/>
          <w:sz w:val="32"/>
          <w:szCs w:val="32"/>
        </w:rPr>
      </w:pPr>
      <w:r>
        <w:rPr>
          <w:rFonts w:hint="eastAsia" w:ascii="Times New Roman" w:hAnsi="Times New Roman" w:eastAsia="黑体"/>
          <w:b/>
          <w:bCs/>
          <w:sz w:val="32"/>
          <w:szCs w:val="32"/>
          <w:lang w:eastAsia="zh-CN"/>
        </w:rPr>
        <w:t>四、</w:t>
      </w:r>
      <w:r>
        <w:rPr>
          <w:rFonts w:ascii="Times New Roman" w:hAnsi="Times New Roman" w:eastAsia="黑体"/>
          <w:b/>
          <w:bCs/>
          <w:sz w:val="32"/>
          <w:szCs w:val="32"/>
        </w:rPr>
        <w:t>国有资本经营预算支出情况</w:t>
      </w:r>
    </w:p>
    <w:p>
      <w:pPr>
        <w:pStyle w:val="7"/>
        <w:numPr>
          <w:ilvl w:val="0"/>
          <w:numId w:val="0"/>
        </w:numPr>
        <w:spacing w:line="600" w:lineRule="exact"/>
        <w:ind w:left="630" w:leftChars="0"/>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eastAsia="zh-CN"/>
        </w:rPr>
        <w:t>江永县第一小学</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年度无国有资本经营预算支出。</w:t>
      </w:r>
    </w:p>
    <w:p>
      <w:pPr>
        <w:pStyle w:val="7"/>
        <w:numPr>
          <w:ilvl w:val="0"/>
          <w:numId w:val="0"/>
        </w:numPr>
        <w:spacing w:line="600" w:lineRule="exact"/>
        <w:rPr>
          <w:rFonts w:ascii="Times New Roman" w:hAnsi="Times New Roman" w:eastAsia="黑体"/>
          <w:b/>
          <w:bCs/>
          <w:sz w:val="32"/>
          <w:szCs w:val="32"/>
        </w:rPr>
      </w:pPr>
      <w:r>
        <w:rPr>
          <w:rFonts w:hint="eastAsia" w:ascii="Times New Roman" w:hAnsi="Times New Roman" w:eastAsia="黑体"/>
          <w:b/>
          <w:bCs/>
          <w:sz w:val="32"/>
          <w:szCs w:val="32"/>
          <w:lang w:eastAsia="zh-CN"/>
        </w:rPr>
        <w:t>五、</w:t>
      </w:r>
      <w:r>
        <w:rPr>
          <w:rFonts w:ascii="Times New Roman" w:hAnsi="Times New Roman" w:eastAsia="黑体"/>
          <w:b/>
          <w:bCs/>
          <w:sz w:val="32"/>
          <w:szCs w:val="32"/>
        </w:rPr>
        <w:t>社会保险基金预算支出情况</w:t>
      </w:r>
    </w:p>
    <w:p>
      <w:pPr>
        <w:pStyle w:val="7"/>
        <w:widowControl w:val="0"/>
        <w:numPr>
          <w:ilvl w:val="0"/>
          <w:numId w:val="0"/>
        </w:numPr>
        <w:wordWrap/>
        <w:adjustRightInd/>
        <w:snapToGrid/>
        <w:spacing w:line="60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val="0"/>
          <w:sz w:val="32"/>
          <w:szCs w:val="32"/>
          <w:lang w:eastAsia="zh-CN"/>
        </w:rPr>
        <w:t>江永县第一小学</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b w:val="0"/>
          <w:bCs/>
          <w:sz w:val="32"/>
          <w:szCs w:val="32"/>
          <w:lang w:eastAsia="zh-CN"/>
        </w:rPr>
        <w:t>年度无社会保险基金预算支出。</w:t>
      </w:r>
    </w:p>
    <w:p>
      <w:pPr>
        <w:spacing w:line="600" w:lineRule="exact"/>
        <w:rPr>
          <w:rFonts w:eastAsia="黑体"/>
          <w:b/>
          <w:bCs/>
          <w:sz w:val="32"/>
          <w:szCs w:val="32"/>
        </w:rPr>
      </w:pPr>
      <w:r>
        <w:rPr>
          <w:rFonts w:hint="eastAsia" w:eastAsia="黑体"/>
          <w:b/>
          <w:bCs/>
          <w:sz w:val="32"/>
          <w:szCs w:val="32"/>
          <w:lang w:eastAsia="zh-CN"/>
        </w:rPr>
        <w:t>六</w:t>
      </w:r>
      <w:r>
        <w:rPr>
          <w:rFonts w:eastAsia="黑体"/>
          <w:b/>
          <w:bCs/>
          <w:sz w:val="32"/>
          <w:szCs w:val="32"/>
        </w:rPr>
        <w:t>、部门整体支出绩效情况</w:t>
      </w:r>
    </w:p>
    <w:p>
      <w:pPr>
        <w:pStyle w:val="7"/>
        <w:spacing w:line="600" w:lineRule="exact"/>
        <w:ind w:firstLine="640"/>
        <w:rPr>
          <w:rFonts w:hint="eastAsia"/>
          <w:sz w:val="28"/>
          <w:szCs w:val="28"/>
          <w:lang w:val="en-US" w:eastAsia="zh-CN"/>
        </w:rPr>
      </w:pPr>
      <w:r>
        <w:rPr>
          <w:rFonts w:hint="eastAsia" w:ascii="仿宋_GB2312" w:hAnsi="仿宋_GB2312" w:eastAsia="仿宋_GB2312" w:cs="仿宋_GB2312"/>
          <w:sz w:val="32"/>
          <w:szCs w:val="32"/>
        </w:rPr>
        <w:t>通过绩效评价工作组对全部项目的实施情况进行了整体跟踪，从项目安排、实施、资金的拨付进行了综合评价，认为教育资金项目任务目标明确，资金到位</w:t>
      </w:r>
      <w:r>
        <w:rPr>
          <w:rFonts w:hint="eastAsia" w:ascii="仿宋_GB2312" w:hAnsi="仿宋_GB2312" w:eastAsia="仿宋_GB2312" w:cs="仿宋_GB2312"/>
          <w:sz w:val="32"/>
          <w:szCs w:val="32"/>
          <w:lang w:eastAsia="zh-CN"/>
        </w:rPr>
        <w:t>比较</w:t>
      </w:r>
      <w:r>
        <w:rPr>
          <w:rFonts w:hint="eastAsia" w:ascii="仿宋_GB2312" w:hAnsi="仿宋_GB2312" w:eastAsia="仿宋_GB2312" w:cs="仿宋_GB2312"/>
          <w:sz w:val="32"/>
          <w:szCs w:val="32"/>
        </w:rPr>
        <w:t>及时，并制定了科学的实施计划，项目实施过程中严格按照有关项目管理和经费管理规定执行，目前各项目持续稳定进展，具有较好的经济和社会效益。我</w:t>
      </w:r>
      <w:r>
        <w:rPr>
          <w:rFonts w:hint="eastAsia" w:ascii="仿宋_GB2312" w:hAnsi="仿宋_GB2312" w:eastAsia="仿宋_GB2312" w:cs="仿宋_GB2312"/>
          <w:sz w:val="32"/>
          <w:szCs w:val="32"/>
          <w:lang w:eastAsia="zh-CN"/>
        </w:rPr>
        <w:t>校</w:t>
      </w:r>
      <w:r>
        <w:rPr>
          <w:rFonts w:hint="eastAsia" w:ascii="仿宋_GB2312" w:hAnsi="仿宋_GB2312" w:eastAsia="仿宋_GB2312" w:cs="仿宋_GB2312"/>
          <w:sz w:val="32"/>
          <w:szCs w:val="32"/>
        </w:rPr>
        <w:t>项目基础数据信息真实、资料收集齐全，每一个项目都有完整的资料，实施进度也基本达到上级的要求。目前项目已全部</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完成，学生、家长、人民群众都很满意</w:t>
      </w:r>
      <w:r>
        <w:rPr>
          <w:rFonts w:hint="eastAsia" w:ascii="仿宋_GB2312" w:hAnsi="仿宋_GB2312" w:eastAsia="仿宋_GB2312" w:cs="仿宋_GB2312"/>
          <w:sz w:val="32"/>
          <w:szCs w:val="32"/>
          <w:lang w:eastAsia="zh-CN"/>
        </w:rPr>
        <w:t>，本次绩效综合评价得分为</w:t>
      </w:r>
      <w:r>
        <w:rPr>
          <w:rFonts w:hint="eastAsia" w:ascii="仿宋_GB2312" w:hAnsi="仿宋_GB2312" w:eastAsia="仿宋_GB2312" w:cs="仿宋_GB2312"/>
          <w:sz w:val="32"/>
          <w:szCs w:val="32"/>
          <w:lang w:val="en-US" w:eastAsia="zh-CN"/>
        </w:rPr>
        <w:t>99分。</w:t>
      </w:r>
    </w:p>
    <w:p>
      <w:pPr>
        <w:pStyle w:val="7"/>
        <w:spacing w:line="600" w:lineRule="exact"/>
        <w:ind w:left="0" w:leftChars="0" w:firstLine="0" w:firstLineChars="0"/>
        <w:rPr>
          <w:rFonts w:hint="eastAsia" w:ascii="黑体" w:hAnsi="黑体" w:eastAsia="黑体" w:cs="黑体"/>
          <w:b/>
          <w:bCs/>
          <w:sz w:val="32"/>
          <w:szCs w:val="32"/>
          <w:lang w:val="en-US" w:eastAsia="zh-CN"/>
        </w:rPr>
      </w:pPr>
      <w:r>
        <w:rPr>
          <w:rFonts w:hint="eastAsia" w:ascii="黑体" w:hAnsi="黑体" w:eastAsia="黑体" w:cs="黑体"/>
          <w:b/>
          <w:bCs/>
          <w:sz w:val="32"/>
          <w:szCs w:val="32"/>
          <w:lang w:eastAsia="zh-CN"/>
        </w:rPr>
        <w:t>七</w:t>
      </w:r>
      <w:r>
        <w:rPr>
          <w:rFonts w:hint="eastAsia" w:ascii="黑体" w:hAnsi="黑体" w:eastAsia="黑体" w:cs="黑体"/>
          <w:b/>
          <w:bCs/>
          <w:sz w:val="32"/>
          <w:szCs w:val="32"/>
        </w:rPr>
        <w:t>、存在的问题及</w:t>
      </w:r>
      <w:r>
        <w:rPr>
          <w:rFonts w:hint="eastAsia" w:ascii="黑体" w:hAnsi="黑体" w:eastAsia="黑体" w:cs="黑体"/>
          <w:b/>
          <w:bCs/>
          <w:sz w:val="32"/>
          <w:szCs w:val="32"/>
          <w:lang w:eastAsia="zh-CN"/>
        </w:rPr>
        <w:t>原因分析</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教育资金拨付流程</w:t>
      </w:r>
      <w:r>
        <w:rPr>
          <w:rFonts w:hint="eastAsia" w:ascii="仿宋_GB2312" w:hAnsi="仿宋_GB2312" w:eastAsia="仿宋_GB2312" w:cs="仿宋_GB2312"/>
          <w:sz w:val="32"/>
          <w:szCs w:val="32"/>
        </w:rPr>
        <w:t>复杂，</w:t>
      </w:r>
      <w:r>
        <w:rPr>
          <w:rFonts w:hint="eastAsia" w:ascii="仿宋_GB2312" w:hAnsi="仿宋_GB2312" w:eastAsia="仿宋_GB2312" w:cs="仿宋_GB2312"/>
          <w:sz w:val="32"/>
          <w:szCs w:val="32"/>
          <w:lang w:eastAsia="zh-CN"/>
        </w:rPr>
        <w:t>教育局国库专项资金不能直接下达到各学校，只能由财政直接下达各学校国库，在由单位录单后支付，</w:t>
      </w:r>
      <w:r>
        <w:rPr>
          <w:rFonts w:hint="eastAsia" w:ascii="仿宋_GB2312" w:hAnsi="仿宋_GB2312" w:eastAsia="仿宋_GB2312" w:cs="仿宋_GB2312"/>
          <w:sz w:val="32"/>
          <w:szCs w:val="32"/>
        </w:rPr>
        <w:t>实施时间跨度大，项目实施进度缓慢。</w:t>
      </w:r>
    </w:p>
    <w:p>
      <w:pPr>
        <w:numPr>
          <w:ilvl w:val="0"/>
          <w:numId w:val="0"/>
        </w:numPr>
        <w:spacing w:line="600" w:lineRule="exact"/>
        <w:rPr>
          <w:rFonts w:eastAsia="黑体"/>
          <w:b/>
          <w:bCs/>
          <w:sz w:val="32"/>
          <w:szCs w:val="32"/>
        </w:rPr>
      </w:pPr>
      <w:r>
        <w:rPr>
          <w:rFonts w:hint="eastAsia" w:eastAsia="黑体"/>
          <w:b/>
          <w:bCs/>
          <w:sz w:val="32"/>
          <w:szCs w:val="32"/>
          <w:lang w:eastAsia="zh-CN"/>
        </w:rPr>
        <w:t>八、</w:t>
      </w:r>
      <w:r>
        <w:rPr>
          <w:rFonts w:eastAsia="黑体"/>
          <w:b/>
          <w:bCs/>
          <w:sz w:val="32"/>
          <w:szCs w:val="32"/>
        </w:rPr>
        <w:t>下一步改进措施</w:t>
      </w:r>
    </w:p>
    <w:p>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绩效评价工作要各部门协调齐头并进，制定方案，各司其责。通过绩效评价，要加强资金的管理。</w:t>
      </w:r>
      <w:r>
        <w:rPr>
          <w:rFonts w:hint="eastAsia" w:ascii="仿宋_GB2312" w:hAnsi="仿宋_GB2312" w:eastAsia="仿宋_GB2312" w:cs="仿宋_GB2312"/>
          <w:sz w:val="32"/>
          <w:szCs w:val="32"/>
        </w:rPr>
        <w:t>一是强化项目制度管理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严格项目资金审批程序，确保项目顺利推进。我</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对专项资金使用管理、项目立项审批、项目基建管理、项目政府采购和招投标等环节和事项进行了明确的规定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强化教育</w:t>
      </w:r>
      <w:r>
        <w:rPr>
          <w:rFonts w:hint="eastAsia" w:ascii="仿宋_GB2312" w:hAnsi="仿宋_GB2312" w:eastAsia="仿宋_GB2312" w:cs="仿宋_GB2312"/>
          <w:sz w:val="32"/>
          <w:szCs w:val="32"/>
          <w:lang w:eastAsia="zh-CN"/>
        </w:rPr>
        <w:t>专项</w:t>
      </w:r>
      <w:r>
        <w:rPr>
          <w:rFonts w:hint="eastAsia" w:ascii="仿宋_GB2312" w:hAnsi="仿宋_GB2312" w:eastAsia="仿宋_GB2312" w:cs="仿宋_GB2312"/>
          <w:sz w:val="32"/>
          <w:szCs w:val="32"/>
        </w:rPr>
        <w:t>在预算、分配、拨付、财务管理、审计等全过程的监督检查，不断提高教育经费的使用效益。二是强化项目统筹管理。</w:t>
      </w:r>
    </w:p>
    <w:p>
      <w:pPr>
        <w:numPr>
          <w:ilvl w:val="0"/>
          <w:numId w:val="0"/>
        </w:numPr>
        <w:spacing w:line="600" w:lineRule="exact"/>
        <w:rPr>
          <w:rFonts w:eastAsia="黑体"/>
          <w:b/>
          <w:bCs/>
          <w:sz w:val="32"/>
          <w:szCs w:val="32"/>
        </w:rPr>
      </w:pPr>
      <w:r>
        <w:rPr>
          <w:rFonts w:hint="eastAsia" w:eastAsia="黑体"/>
          <w:b/>
          <w:bCs/>
          <w:sz w:val="32"/>
          <w:szCs w:val="32"/>
          <w:lang w:eastAsia="zh-CN"/>
        </w:rPr>
        <w:t>九、</w:t>
      </w:r>
      <w:r>
        <w:rPr>
          <w:rFonts w:eastAsia="黑体"/>
          <w:b/>
          <w:bCs/>
          <w:sz w:val="32"/>
          <w:szCs w:val="32"/>
        </w:rPr>
        <w:t>绩效自评结果拟应用和公开情况</w:t>
      </w:r>
    </w:p>
    <w:p>
      <w:pPr>
        <w:numPr>
          <w:ilvl w:val="0"/>
          <w:numId w:val="0"/>
        </w:num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从绩效自评结果来看，</w:t>
      </w:r>
      <w:r>
        <w:rPr>
          <w:rFonts w:hint="eastAsia" w:ascii="仿宋_GB2312" w:hAnsi="仿宋_GB2312" w:eastAsia="仿宋_GB2312" w:cs="仿宋_GB2312"/>
          <w:b w:val="0"/>
          <w:bCs w:val="0"/>
          <w:kern w:val="0"/>
          <w:sz w:val="32"/>
          <w:szCs w:val="32"/>
          <w:lang w:eastAsia="zh-CN"/>
        </w:rPr>
        <w:t>江永县第一小学</w:t>
      </w:r>
      <w:r>
        <w:rPr>
          <w:rFonts w:hint="eastAsia" w:ascii="仿宋_GB2312" w:hAnsi="仿宋_GB2312" w:eastAsia="仿宋_GB2312" w:cs="仿宋_GB2312"/>
          <w:b w:val="0"/>
          <w:bCs w:val="0"/>
          <w:kern w:val="0"/>
          <w:sz w:val="32"/>
          <w:szCs w:val="32"/>
        </w:rPr>
        <w:t>部门整体</w:t>
      </w:r>
      <w:r>
        <w:rPr>
          <w:rFonts w:hint="eastAsia" w:ascii="仿宋" w:hAnsi="仿宋" w:eastAsia="仿宋" w:cs="仿宋"/>
          <w:sz w:val="32"/>
          <w:szCs w:val="32"/>
          <w:lang w:val="en-US" w:eastAsia="zh-CN"/>
        </w:rPr>
        <w:t>支出绩效较好，有力推动了教育事业持续健康发展。根据预算绩效评价的有关规定，学校将在江永政府网公示绩效自评报告。</w:t>
      </w:r>
    </w:p>
    <w:p>
      <w:pPr>
        <w:numPr>
          <w:ilvl w:val="0"/>
          <w:numId w:val="0"/>
        </w:numPr>
        <w:spacing w:line="600" w:lineRule="exact"/>
        <w:rPr>
          <w:rFonts w:eastAsia="黑体"/>
          <w:b/>
          <w:bCs/>
          <w:sz w:val="32"/>
          <w:szCs w:val="32"/>
        </w:rPr>
      </w:pPr>
      <w:r>
        <w:rPr>
          <w:rFonts w:hint="eastAsia" w:eastAsia="黑体"/>
          <w:b/>
          <w:bCs/>
          <w:sz w:val="32"/>
          <w:szCs w:val="32"/>
          <w:lang w:eastAsia="zh-CN"/>
        </w:rPr>
        <w:t>十、</w:t>
      </w:r>
      <w:r>
        <w:rPr>
          <w:rFonts w:eastAsia="黑体"/>
          <w:b/>
          <w:bCs/>
          <w:sz w:val="32"/>
          <w:szCs w:val="32"/>
        </w:rPr>
        <w:t>其他需要说明的情况</w:t>
      </w:r>
    </w:p>
    <w:p>
      <w:pPr>
        <w:numPr>
          <w:ilvl w:val="0"/>
          <w:numId w:val="0"/>
        </w:numPr>
        <w:spacing w:line="600" w:lineRule="exact"/>
        <w:ind w:leftChars="200"/>
        <w:rPr>
          <w:rFonts w:hint="eastAsia"/>
          <w:sz w:val="28"/>
          <w:szCs w:val="28"/>
          <w:lang w:val="en-US" w:eastAsia="zh-CN"/>
        </w:rPr>
      </w:pPr>
      <w:r>
        <w:rPr>
          <w:rFonts w:hint="eastAsia" w:ascii="仿宋" w:hAnsi="仿宋" w:eastAsia="仿宋" w:cs="仿宋"/>
          <w:sz w:val="32"/>
          <w:szCs w:val="32"/>
          <w:lang w:val="en-US" w:eastAsia="zh-CN"/>
        </w:rPr>
        <w:t xml:space="preserve"> 无。</w:t>
      </w:r>
    </w:p>
    <w:p>
      <w:pPr>
        <w:widowControl w:val="0"/>
        <w:wordWrap/>
        <w:adjustRightInd/>
        <w:snapToGrid/>
        <w:spacing w:line="240" w:lineRule="atLeas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江永县第一小学</w:t>
      </w:r>
    </w:p>
    <w:p>
      <w:pPr>
        <w:widowControl/>
        <w:spacing w:line="560" w:lineRule="exact"/>
        <w:jc w:val="center"/>
        <w:rPr>
          <w:rFonts w:eastAsia="方正小标宋_GBK"/>
          <w:kern w:val="0"/>
          <w:sz w:val="44"/>
          <w:szCs w:val="44"/>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sz w:val="32"/>
          <w:szCs w:val="32"/>
          <w:lang w:val="en-US" w:eastAsia="zh-CN"/>
        </w:rPr>
        <w:t xml:space="preserve">   2024年4月16日</w:t>
      </w:r>
      <w:r>
        <w:rPr>
          <w:rFonts w:hint="eastAsia" w:eastAsia="方正小标宋_GBK"/>
          <w:kern w:val="0"/>
          <w:sz w:val="44"/>
          <w:szCs w:val="44"/>
        </w:rPr>
        <w:t>2023年度江永县</w:t>
      </w:r>
      <w:r>
        <w:rPr>
          <w:rFonts w:hint="eastAsia" w:eastAsia="方正小标宋_GBK"/>
          <w:kern w:val="0"/>
          <w:sz w:val="44"/>
          <w:szCs w:val="44"/>
          <w:lang w:eastAsia="zh-CN"/>
        </w:rPr>
        <w:t>第一小</w:t>
      </w:r>
      <w:r>
        <w:rPr>
          <w:rFonts w:hint="eastAsia" w:eastAsia="方正小标宋_GBK"/>
          <w:kern w:val="0"/>
          <w:sz w:val="44"/>
          <w:szCs w:val="44"/>
        </w:rPr>
        <w:t>学整体支出</w:t>
      </w:r>
    </w:p>
    <w:p>
      <w:pPr>
        <w:widowControl/>
        <w:spacing w:line="560" w:lineRule="exact"/>
        <w:jc w:val="center"/>
        <w:rPr>
          <w:rFonts w:eastAsia="方正小标宋_GBK"/>
          <w:kern w:val="0"/>
          <w:sz w:val="44"/>
          <w:szCs w:val="44"/>
        </w:rPr>
      </w:pPr>
      <w:r>
        <w:rPr>
          <w:rFonts w:hint="eastAsia" w:eastAsia="方正小标宋_GBK"/>
          <w:kern w:val="0"/>
          <w:sz w:val="44"/>
          <w:szCs w:val="44"/>
        </w:rPr>
        <w:t>绩效自评报告</w:t>
      </w:r>
    </w:p>
    <w:p>
      <w:pPr>
        <w:widowControl/>
        <w:spacing w:line="560" w:lineRule="exact"/>
        <w:jc w:val="center"/>
        <w:rPr>
          <w:rFonts w:eastAsia="方正小标宋_GBK"/>
          <w:kern w:val="0"/>
          <w:sz w:val="32"/>
          <w:szCs w:val="32"/>
        </w:rPr>
      </w:pPr>
      <w:r>
        <w:rPr>
          <w:rFonts w:hint="eastAsia" w:eastAsia="方正小标宋_GBK"/>
          <w:kern w:val="0"/>
          <w:sz w:val="32"/>
          <w:szCs w:val="32"/>
        </w:rPr>
        <w:t>江永县</w:t>
      </w:r>
      <w:r>
        <w:rPr>
          <w:rFonts w:hint="eastAsia" w:eastAsia="方正小标宋_GBK"/>
          <w:kern w:val="0"/>
          <w:sz w:val="32"/>
          <w:szCs w:val="32"/>
          <w:lang w:eastAsia="zh-CN"/>
        </w:rPr>
        <w:t>第一小学</w:t>
      </w:r>
      <w:r>
        <w:rPr>
          <w:rFonts w:eastAsia="方正小标宋_GBK"/>
          <w:kern w:val="0"/>
          <w:sz w:val="32"/>
          <w:szCs w:val="32"/>
        </w:rPr>
        <w:t>部门整体支出绩效评价基础数据表</w:t>
      </w:r>
    </w:p>
    <w:p>
      <w:pPr>
        <w:widowControl/>
        <w:spacing w:line="560" w:lineRule="exact"/>
        <w:jc w:val="right"/>
        <w:rPr>
          <w:rFonts w:eastAsia="方正小标宋_GBK"/>
          <w:kern w:val="0"/>
          <w:szCs w:val="21"/>
        </w:rPr>
      </w:pPr>
      <w:r>
        <w:rPr>
          <w:rFonts w:hint="eastAsia" w:eastAsia="方正小标宋_GBK"/>
          <w:kern w:val="0"/>
          <w:szCs w:val="21"/>
        </w:rPr>
        <w:t>（单位：万元）</w:t>
      </w:r>
    </w:p>
    <w:p>
      <w:pPr>
        <w:widowControl/>
        <w:tabs>
          <w:tab w:val="left" w:pos="3611"/>
          <w:tab w:val="left" w:pos="4791"/>
          <w:tab w:val="left" w:pos="5951"/>
          <w:tab w:val="left" w:pos="7071"/>
          <w:tab w:val="left" w:pos="8191"/>
          <w:tab w:val="left" w:pos="9311"/>
        </w:tabs>
        <w:ind w:left="91"/>
        <w:jc w:val="center"/>
        <w:rPr>
          <w:rFonts w:eastAsia="仿宋_GB2312"/>
          <w:kern w:val="0"/>
          <w:sz w:val="24"/>
        </w:rPr>
      </w:pPr>
    </w:p>
    <w:tbl>
      <w:tblPr>
        <w:tblStyle w:val="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vAlign w:val="center"/>
          </w:tcPr>
          <w:p>
            <w:pPr>
              <w:widowControl/>
              <w:jc w:val="left"/>
              <w:rPr>
                <w:rFonts w:eastAsia="仿宋_GB2312"/>
                <w:kern w:val="0"/>
                <w:szCs w:val="21"/>
              </w:rPr>
            </w:pPr>
          </w:p>
        </w:tc>
        <w:tc>
          <w:tcPr>
            <w:tcW w:w="2038"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141</w:t>
            </w:r>
          </w:p>
        </w:tc>
        <w:tc>
          <w:tcPr>
            <w:tcW w:w="2240" w:type="dxa"/>
            <w:gridSpan w:val="2"/>
            <w:vAlign w:val="center"/>
          </w:tcPr>
          <w:p>
            <w:pPr>
              <w:widowControl/>
              <w:jc w:val="center"/>
              <w:rPr>
                <w:rFonts w:eastAsia="仿宋_GB2312"/>
                <w:kern w:val="0"/>
                <w:szCs w:val="21"/>
              </w:rPr>
            </w:pPr>
            <w:r>
              <w:rPr>
                <w:rFonts w:hint="eastAsia" w:eastAsia="仿宋_GB2312"/>
                <w:kern w:val="0"/>
                <w:szCs w:val="21"/>
                <w:lang w:val="en-US" w:eastAsia="zh-CN"/>
              </w:rPr>
              <w:t>141</w:t>
            </w:r>
            <w:r>
              <w:rPr>
                <w:rFonts w:eastAsia="仿宋_GB2312"/>
                <w:kern w:val="0"/>
                <w:szCs w:val="21"/>
              </w:rPr>
              <w:t>　</w:t>
            </w:r>
          </w:p>
        </w:tc>
        <w:tc>
          <w:tcPr>
            <w:tcW w:w="1832" w:type="dxa"/>
            <w:gridSpan w:val="2"/>
            <w:vAlign w:val="center"/>
          </w:tcPr>
          <w:p>
            <w:pPr>
              <w:widowControl/>
              <w:jc w:val="center"/>
              <w:rPr>
                <w:rFonts w:eastAsia="仿宋_GB2312"/>
                <w:kern w:val="0"/>
                <w:szCs w:val="21"/>
              </w:rPr>
            </w:pPr>
            <w:r>
              <w:rPr>
                <w:rFonts w:hint="eastAsia" w:eastAsia="仿宋_GB2312"/>
                <w:kern w:val="0"/>
                <w:szCs w:val="21"/>
              </w:rPr>
              <w:t>100%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三公经费</w:t>
            </w:r>
          </w:p>
        </w:tc>
        <w:tc>
          <w:tcPr>
            <w:tcW w:w="2038" w:type="dxa"/>
            <w:gridSpan w:val="2"/>
            <w:vAlign w:val="center"/>
          </w:tcPr>
          <w:p>
            <w:pPr>
              <w:widowControl/>
              <w:jc w:val="center"/>
              <w:rPr>
                <w:rFonts w:eastAsia="仿宋_GB2312"/>
                <w:kern w:val="0"/>
                <w:szCs w:val="21"/>
              </w:rPr>
            </w:pPr>
            <w:r>
              <w:rPr>
                <w:rFonts w:hint="eastAsia" w:eastAsia="仿宋_GB2312"/>
                <w:kern w:val="0"/>
                <w:szCs w:val="21"/>
              </w:rPr>
              <w:t>2.</w:t>
            </w:r>
            <w:r>
              <w:rPr>
                <w:rFonts w:hint="eastAsia" w:eastAsia="仿宋_GB2312"/>
                <w:kern w:val="0"/>
                <w:szCs w:val="21"/>
                <w:lang w:val="en-US" w:eastAsia="zh-CN"/>
              </w:rPr>
              <w:t>48</w:t>
            </w: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2.38</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vAlign w:val="center"/>
          </w:tcPr>
          <w:p>
            <w:pPr>
              <w:widowControl/>
              <w:jc w:val="center"/>
              <w:rPr>
                <w:rFonts w:eastAsia="仿宋_GB2312"/>
                <w:kern w:val="0"/>
                <w:szCs w:val="21"/>
              </w:rPr>
            </w:pPr>
            <w:r>
              <w:rPr>
                <w:rFonts w:hint="eastAsia" w:eastAsia="仿宋_GB2312"/>
                <w:kern w:val="0"/>
                <w:szCs w:val="21"/>
              </w:rPr>
              <w:t>0</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vAlign w:val="center"/>
          </w:tcPr>
          <w:p>
            <w:pPr>
              <w:widowControl/>
              <w:jc w:val="center"/>
              <w:rPr>
                <w:rFonts w:eastAsia="仿宋_GB2312"/>
                <w:kern w:val="0"/>
                <w:szCs w:val="21"/>
              </w:rPr>
            </w:pPr>
            <w:r>
              <w:rPr>
                <w:rFonts w:eastAsia="仿宋_GB2312"/>
                <w:kern w:val="0"/>
                <w:szCs w:val="21"/>
              </w:rPr>
              <w:t>　</w:t>
            </w:r>
            <w:r>
              <w:rPr>
                <w:rFonts w:hint="eastAsia" w:eastAsia="仿宋_GB2312"/>
                <w:kern w:val="0"/>
                <w:szCs w:val="21"/>
              </w:rPr>
              <w:t>0</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vAlign w:val="center"/>
          </w:tcPr>
          <w:p>
            <w:pPr>
              <w:widowControl/>
              <w:jc w:val="center"/>
              <w:rPr>
                <w:rFonts w:eastAsia="仿宋_GB2312"/>
                <w:kern w:val="0"/>
                <w:szCs w:val="21"/>
              </w:rPr>
            </w:pPr>
            <w:r>
              <w:rPr>
                <w:rFonts w:hint="eastAsia" w:eastAsia="仿宋_GB2312"/>
                <w:kern w:val="0"/>
                <w:szCs w:val="21"/>
              </w:rPr>
              <w:t>2.</w:t>
            </w:r>
            <w:r>
              <w:rPr>
                <w:rFonts w:hint="eastAsia" w:eastAsia="仿宋_GB2312"/>
                <w:kern w:val="0"/>
                <w:szCs w:val="21"/>
                <w:lang w:val="en-US" w:eastAsia="zh-CN"/>
              </w:rPr>
              <w:t>48</w:t>
            </w:r>
          </w:p>
        </w:tc>
        <w:tc>
          <w:tcPr>
            <w:tcW w:w="2240" w:type="dxa"/>
            <w:gridSpan w:val="2"/>
            <w:vAlign w:val="center"/>
          </w:tcPr>
          <w:p>
            <w:pPr>
              <w:widowControl/>
              <w:jc w:val="center"/>
              <w:rPr>
                <w:rFonts w:eastAsia="仿宋_GB2312"/>
                <w:kern w:val="0"/>
                <w:szCs w:val="21"/>
              </w:rPr>
            </w:pPr>
            <w:r>
              <w:rPr>
                <w:rFonts w:hint="eastAsia" w:eastAsia="仿宋_GB2312"/>
                <w:kern w:val="0"/>
                <w:szCs w:val="21"/>
              </w:rPr>
              <w:t>2.</w:t>
            </w:r>
            <w:r>
              <w:rPr>
                <w:rFonts w:hint="eastAsia" w:eastAsia="仿宋_GB2312"/>
                <w:kern w:val="0"/>
                <w:szCs w:val="21"/>
                <w:lang w:val="en-US" w:eastAsia="zh-CN"/>
              </w:rPr>
              <w:t>38</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项目支出：</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eastAsia="仿宋_GB2312"/>
                <w:kern w:val="0"/>
                <w:szCs w:val="21"/>
              </w:rPr>
            </w:pPr>
          </w:p>
        </w:tc>
        <w:tc>
          <w:tcPr>
            <w:tcW w:w="1832" w:type="dxa"/>
            <w:gridSpan w:val="2"/>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eastAsia="仿宋_GB2312"/>
                <w:kern w:val="0"/>
                <w:szCs w:val="21"/>
              </w:rPr>
            </w:pPr>
          </w:p>
        </w:tc>
        <w:tc>
          <w:tcPr>
            <w:tcW w:w="1832" w:type="dxa"/>
            <w:gridSpan w:val="2"/>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vAlign w:val="center"/>
          </w:tcPr>
          <w:p>
            <w:pPr>
              <w:widowControl/>
              <w:jc w:val="center"/>
              <w:rPr>
                <w:rFonts w:eastAsia="仿宋_GB2312"/>
                <w:kern w:val="0"/>
                <w:szCs w:val="21"/>
              </w:rPr>
            </w:pPr>
            <w:r>
              <w:rPr>
                <w:rFonts w:eastAsia="仿宋_GB2312"/>
                <w:kern w:val="0"/>
                <w:szCs w:val="21"/>
              </w:rPr>
              <w:t>　</w:t>
            </w:r>
          </w:p>
        </w:tc>
        <w:tc>
          <w:tcPr>
            <w:tcW w:w="2240" w:type="dxa"/>
            <w:gridSpan w:val="2"/>
            <w:vAlign w:val="center"/>
          </w:tcPr>
          <w:p>
            <w:pPr>
              <w:widowControl/>
              <w:jc w:val="center"/>
              <w:rPr>
                <w:rFonts w:eastAsia="仿宋_GB2312"/>
                <w:kern w:val="0"/>
                <w:szCs w:val="21"/>
              </w:rPr>
            </w:pPr>
            <w:r>
              <w:rPr>
                <w:rFonts w:eastAsia="仿宋_GB2312"/>
                <w:kern w:val="0"/>
                <w:szCs w:val="21"/>
              </w:rPr>
              <w:t>　</w:t>
            </w:r>
          </w:p>
        </w:tc>
        <w:tc>
          <w:tcPr>
            <w:tcW w:w="1832" w:type="dxa"/>
            <w:gridSpan w:val="2"/>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vAlign w:val="center"/>
          </w:tcPr>
          <w:p>
            <w:pPr>
              <w:widowControl/>
              <w:ind w:firstLine="420" w:firstLineChars="200"/>
              <w:jc w:val="left"/>
              <w:rPr>
                <w:rFonts w:eastAsia="仿宋_GB2312"/>
                <w:kern w:val="0"/>
                <w:szCs w:val="21"/>
              </w:rPr>
            </w:pPr>
            <w:r>
              <w:rPr>
                <w:rFonts w:eastAsia="仿宋_GB2312"/>
                <w:kern w:val="0"/>
                <w:szCs w:val="21"/>
              </w:rPr>
              <w:t>3、专项资金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vAlign w:val="center"/>
          </w:tcPr>
          <w:p>
            <w:pPr>
              <w:widowControl/>
              <w:jc w:val="center"/>
              <w:rPr>
                <w:rFonts w:eastAsia="仿宋_GB2312"/>
                <w:color w:val="FF0000"/>
                <w:kern w:val="0"/>
                <w:szCs w:val="21"/>
              </w:rPr>
            </w:pPr>
          </w:p>
        </w:tc>
        <w:tc>
          <w:tcPr>
            <w:tcW w:w="2240" w:type="dxa"/>
            <w:gridSpan w:val="2"/>
            <w:vAlign w:val="center"/>
          </w:tcPr>
          <w:p>
            <w:pPr>
              <w:widowControl/>
              <w:jc w:val="center"/>
              <w:rPr>
                <w:rFonts w:hint="eastAsia" w:eastAsia="仿宋_GB2312"/>
                <w:kern w:val="0"/>
                <w:szCs w:val="21"/>
                <w:lang w:val="en-US" w:eastAsia="zh-CN"/>
              </w:rPr>
            </w:pPr>
            <w:r>
              <w:rPr>
                <w:rFonts w:hint="eastAsia" w:eastAsia="仿宋_GB2312"/>
                <w:kern w:val="0"/>
                <w:szCs w:val="21"/>
                <w:lang w:val="en-US" w:eastAsia="zh-CN"/>
              </w:rPr>
              <w:t>97.6</w:t>
            </w:r>
          </w:p>
        </w:tc>
        <w:tc>
          <w:tcPr>
            <w:tcW w:w="1832" w:type="dxa"/>
            <w:gridSpan w:val="2"/>
            <w:vAlign w:val="center"/>
          </w:tcPr>
          <w:p>
            <w:pPr>
              <w:widowControl/>
              <w:jc w:val="center"/>
              <w:rPr>
                <w:rFonts w:hint="eastAsia" w:eastAsia="仿宋_GB2312"/>
                <w:kern w:val="0"/>
                <w:szCs w:val="21"/>
                <w:lang w:val="en-US" w:eastAsia="zh-CN"/>
              </w:rPr>
            </w:pPr>
            <w:r>
              <w:rPr>
                <w:rFonts w:hint="eastAsia" w:eastAsia="仿宋_GB2312"/>
                <w:kern w:val="0"/>
                <w:szCs w:val="21"/>
                <w:lang w:val="en-US" w:eastAsia="zh-CN"/>
              </w:rPr>
              <w:t>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公用经费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136.49</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136.49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16.9</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7.09</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1.67</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vAlign w:val="center"/>
          </w:tcPr>
          <w:p>
            <w:pPr>
              <w:widowControl/>
              <w:jc w:val="center"/>
              <w:rPr>
                <w:rFonts w:eastAsia="仿宋_GB2312"/>
                <w:kern w:val="0"/>
                <w:szCs w:val="21"/>
              </w:rPr>
            </w:pPr>
            <w:r>
              <w:rPr>
                <w:rFonts w:eastAsia="仿宋_GB2312"/>
                <w:kern w:val="0"/>
                <w:szCs w:val="21"/>
              </w:rPr>
              <w:t>——</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vAlign w:val="center"/>
          </w:tcPr>
          <w:p>
            <w:pPr>
              <w:widowControl/>
              <w:jc w:val="center"/>
              <w:rPr>
                <w:rFonts w:eastAsia="仿宋_GB2312"/>
                <w:kern w:val="0"/>
                <w:szCs w:val="21"/>
              </w:rPr>
            </w:pPr>
            <w:r>
              <w:rPr>
                <w:rFonts w:eastAsia="仿宋_GB2312"/>
                <w:kern w:val="0"/>
                <w:szCs w:val="21"/>
              </w:rPr>
              <w:t>——</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vAlign w:val="center"/>
          </w:tcPr>
          <w:p>
            <w:pPr>
              <w:widowControl/>
              <w:jc w:val="center"/>
              <w:rPr>
                <w:rFonts w:eastAsia="仿宋_GB2312"/>
                <w:kern w:val="0"/>
                <w:szCs w:val="21"/>
              </w:rPr>
            </w:pPr>
            <w:r>
              <w:rPr>
                <w:rFonts w:eastAsia="仿宋_GB2312"/>
                <w:kern w:val="0"/>
                <w:szCs w:val="21"/>
              </w:rPr>
              <w:t>楼堂馆所控制情况</w:t>
            </w:r>
          </w:p>
          <w:p>
            <w:pPr>
              <w:widowControl/>
              <w:jc w:val="center"/>
              <w:rPr>
                <w:rFonts w:eastAsia="仿宋_GB2312"/>
                <w:kern w:val="0"/>
                <w:szCs w:val="21"/>
              </w:rPr>
            </w:pPr>
            <w:r>
              <w:rPr>
                <w:rFonts w:eastAsia="仿宋_GB2312"/>
                <w:kern w:val="0"/>
                <w:szCs w:val="21"/>
              </w:rPr>
              <w:t>（20</w:t>
            </w:r>
            <w:r>
              <w:rPr>
                <w:rFonts w:hint="eastAsia" w:eastAsia="仿宋_GB2312"/>
                <w:kern w:val="0"/>
                <w:szCs w:val="21"/>
              </w:rPr>
              <w:t>23</w:t>
            </w:r>
            <w:r>
              <w:rPr>
                <w:rFonts w:eastAsia="仿宋_GB2312"/>
                <w:kern w:val="0"/>
                <w:szCs w:val="21"/>
              </w:rPr>
              <w:t>年完工项目）</w:t>
            </w:r>
          </w:p>
        </w:tc>
        <w:tc>
          <w:tcPr>
            <w:tcW w:w="1189" w:type="dxa"/>
            <w:vAlign w:val="center"/>
          </w:tcPr>
          <w:p>
            <w:pPr>
              <w:widowControl/>
              <w:spacing w:line="240" w:lineRule="exact"/>
              <w:jc w:val="center"/>
              <w:rPr>
                <w:rFonts w:eastAsia="仿宋_GB2312"/>
                <w:bCs/>
                <w:kern w:val="0"/>
                <w:szCs w:val="21"/>
              </w:rPr>
            </w:pPr>
            <w:r>
              <w:rPr>
                <w:rFonts w:eastAsia="仿宋_GB2312"/>
                <w:bCs/>
                <w:kern w:val="0"/>
                <w:szCs w:val="21"/>
              </w:rPr>
              <w:t>批复规模</w:t>
            </w:r>
          </w:p>
          <w:p>
            <w:pPr>
              <w:widowControl/>
              <w:spacing w:line="240" w:lineRule="exact"/>
              <w:jc w:val="center"/>
              <w:rPr>
                <w:rFonts w:eastAsia="仿宋_GB2312"/>
                <w:bCs/>
                <w:kern w:val="0"/>
                <w:szCs w:val="21"/>
              </w:rPr>
            </w:pPr>
            <w:r>
              <w:rPr>
                <w:rFonts w:eastAsia="仿宋_GB2312"/>
                <w:bCs/>
                <w:kern w:val="0"/>
                <w:szCs w:val="21"/>
              </w:rPr>
              <w:t>（</w:t>
            </w:r>
            <w:r>
              <w:rPr>
                <w:rFonts w:eastAsia="Batang"/>
                <w:bCs/>
                <w:kern w:val="0"/>
                <w:szCs w:val="21"/>
              </w:rPr>
              <w:t>㎡</w:t>
            </w:r>
            <w:r>
              <w:rPr>
                <w:rFonts w:eastAsia="仿宋_GB2312"/>
                <w:bCs/>
                <w:kern w:val="0"/>
                <w:szCs w:val="21"/>
              </w:rPr>
              <w:t>）</w:t>
            </w:r>
          </w:p>
        </w:tc>
        <w:tc>
          <w:tcPr>
            <w:tcW w:w="849" w:type="dxa"/>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3354" w:type="dxa"/>
            <w:vMerge w:val="continue"/>
            <w:vAlign w:val="center"/>
          </w:tcPr>
          <w:p>
            <w:pPr>
              <w:widowControl/>
              <w:jc w:val="left"/>
              <w:rPr>
                <w:rFonts w:eastAsia="仿宋_GB2312"/>
                <w:kern w:val="0"/>
                <w:szCs w:val="21"/>
              </w:rPr>
            </w:pPr>
          </w:p>
        </w:tc>
        <w:tc>
          <w:tcPr>
            <w:tcW w:w="1189" w:type="dxa"/>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849" w:type="dxa"/>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1129" w:type="dxa"/>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w:t>
            </w:r>
          </w:p>
        </w:tc>
        <w:tc>
          <w:tcPr>
            <w:tcW w:w="1111" w:type="dxa"/>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969" w:type="dxa"/>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863" w:type="dxa"/>
            <w:vAlign w:val="center"/>
          </w:tcPr>
          <w:p>
            <w:pPr>
              <w:widowControl/>
              <w:jc w:val="center"/>
              <w:rPr>
                <w:rFonts w:eastAsia="仿宋_GB2312"/>
                <w:kern w:val="0"/>
                <w:szCs w:val="21"/>
              </w:rPr>
            </w:pPr>
            <w:r>
              <w:rPr>
                <w:rFonts w:hint="eastAsia" w:eastAsia="仿宋_GB2312"/>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3354" w:type="dxa"/>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vAlign w:val="center"/>
          </w:tcPr>
          <w:p>
            <w:pPr>
              <w:widowControl/>
              <w:jc w:val="center"/>
              <w:rPr>
                <w:rFonts w:eastAsia="仿宋_GB2312"/>
                <w:kern w:val="0"/>
                <w:szCs w:val="21"/>
              </w:rPr>
            </w:pPr>
            <w:r>
              <w:rPr>
                <w:rFonts w:hint="eastAsia" w:eastAsia="仿宋_GB2312"/>
                <w:kern w:val="0"/>
                <w:szCs w:val="21"/>
              </w:rPr>
              <w:t>完善规章制度，加强内部控制。</w:t>
            </w:r>
            <w:r>
              <w:rPr>
                <w:rFonts w:eastAsia="仿宋_GB2312"/>
                <w:kern w:val="0"/>
                <w:szCs w:val="21"/>
              </w:rPr>
              <w:t>　</w:t>
            </w:r>
          </w:p>
        </w:tc>
      </w:tr>
    </w:tbl>
    <w:p>
      <w:pPr>
        <w:pStyle w:val="2"/>
        <w:widowControl w:val="0"/>
        <w:wordWrap/>
        <w:adjustRightInd/>
        <w:snapToGrid/>
        <w:spacing w:line="240" w:lineRule="atLeast"/>
        <w:jc w:val="center"/>
        <w:textAlignment w:val="auto"/>
        <w:rPr>
          <w:rFonts w:eastAsia="仿宋_GB2312"/>
          <w:kern w:val="0"/>
          <w:sz w:val="22"/>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p>
    <w:tbl>
      <w:tblPr>
        <w:tblStyle w:val="5"/>
        <w:tblW w:w="9580" w:type="dxa"/>
        <w:tblInd w:w="-5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5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6" w:hRule="atLeast"/>
        </w:trPr>
        <w:tc>
          <w:tcPr>
            <w:tcW w:w="9580" w:type="dxa"/>
            <w:tcBorders>
              <w:top w:val="nil"/>
              <w:left w:val="nil"/>
              <w:bottom w:val="nil"/>
              <w:right w:val="nil"/>
            </w:tcBorders>
            <w:vAlign w:val="center"/>
          </w:tcPr>
          <w:tbl>
            <w:tblPr>
              <w:tblStyle w:val="5"/>
              <w:tblW w:w="1050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5"/>
              <w:gridCol w:w="465"/>
              <w:gridCol w:w="483"/>
              <w:gridCol w:w="914"/>
              <w:gridCol w:w="1340"/>
              <w:gridCol w:w="25"/>
              <w:gridCol w:w="1256"/>
              <w:gridCol w:w="946"/>
              <w:gridCol w:w="446"/>
              <w:gridCol w:w="498"/>
              <w:gridCol w:w="820"/>
              <w:gridCol w:w="746"/>
              <w:gridCol w:w="991"/>
              <w:gridCol w:w="1569"/>
              <w:gridCol w:w="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After w:val="1"/>
                <w:wAfter w:w="5" w:type="dxa"/>
                <w:trHeight w:val="867" w:hRule="atLeast"/>
              </w:trPr>
              <w:tc>
                <w:tcPr>
                  <w:tcW w:w="10504" w:type="dxa"/>
                  <w:gridSpan w:val="14"/>
                  <w:vAlign w:val="center"/>
                </w:tcPr>
                <w:p>
                  <w:pPr>
                    <w:autoSpaceDN w:val="0"/>
                    <w:jc w:val="center"/>
                    <w:textAlignment w:val="center"/>
                    <w:rPr>
                      <w:rFonts w:hint="default" w:ascii="宋体" w:hAnsi="宋体" w:eastAsia="宋体"/>
                      <w:b/>
                      <w:i w:val="0"/>
                      <w:color w:val="000000"/>
                      <w:sz w:val="40"/>
                      <w:u w:val="none"/>
                      <w:lang w:eastAsia="zh-CN"/>
                    </w:rPr>
                  </w:pPr>
                  <w:r>
                    <w:rPr>
                      <w:rFonts w:hint="default" w:ascii="宋体" w:hAnsi="宋体" w:eastAsia="宋体"/>
                      <w:b/>
                      <w:i w:val="0"/>
                      <w:color w:val="000000"/>
                      <w:sz w:val="40"/>
                      <w:u w:val="none"/>
                      <w:lang w:eastAsia="zh-CN"/>
                    </w:rPr>
                    <w:t>部门整体支出绩效自评表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444" w:hRule="atLeast"/>
              </w:trPr>
              <w:tc>
                <w:tcPr>
                  <w:tcW w:w="10504" w:type="dxa"/>
                  <w:gridSpan w:val="1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08" w:hRule="atLeast"/>
              </w:trPr>
              <w:tc>
                <w:tcPr>
                  <w:tcW w:w="1862" w:type="dxa"/>
                  <w:gridSpan w:val="3"/>
                  <w:tcBorders>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2"/>
                      <w:u w:val="none"/>
                      <w:lang w:eastAsia="zh-CN"/>
                    </w:rPr>
                  </w:pPr>
                  <w:r>
                    <w:rPr>
                      <w:rFonts w:hint="default" w:ascii="宋体" w:hAnsi="宋体" w:eastAsia="宋体"/>
                      <w:b/>
                      <w:i w:val="0"/>
                      <w:color w:val="000000"/>
                      <w:sz w:val="22"/>
                      <w:u w:val="none"/>
                      <w:lang w:eastAsia="zh-CN"/>
                    </w:rPr>
                    <w:t>预算部门名称</w:t>
                  </w:r>
                </w:p>
              </w:tc>
              <w:tc>
                <w:tcPr>
                  <w:tcW w:w="8642" w:type="dxa"/>
                  <w:gridSpan w:val="11"/>
                  <w:tcBorders>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江永县城关镇第一小学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32" w:hRule="atLeast"/>
              </w:trPr>
              <w:tc>
                <w:tcPr>
                  <w:tcW w:w="1862" w:type="dxa"/>
                  <w:gridSpan w:val="3"/>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default" w:ascii="Microsoft YaHei UI" w:hAnsi="宋体"/>
                      <w:b w:val="0"/>
                      <w:i w:val="0"/>
                      <w:color w:val="000000"/>
                      <w:sz w:val="20"/>
                      <w:u w:val="none"/>
                    </w:rPr>
                  </w:pPr>
                  <w:r>
                    <w:rPr>
                      <w:rFonts w:hint="default" w:ascii="Microsoft YaHei UI" w:hAnsi="宋体"/>
                      <w:b w:val="0"/>
                      <w:i w:val="0"/>
                      <w:color w:val="000000"/>
                      <w:sz w:val="20"/>
                      <w:u w:val="none"/>
                    </w:rPr>
                    <w:t>年度预算申请</w:t>
                  </w:r>
                  <w:r>
                    <w:rPr>
                      <w:rFonts w:hint="default" w:ascii="Microsoft YaHei UI" w:hAnsi="宋体"/>
                      <w:b w:val="0"/>
                      <w:i w:val="0"/>
                      <w:color w:val="000000"/>
                      <w:sz w:val="20"/>
                      <w:u w:val="none"/>
                    </w:rPr>
                    <w:br w:type="textWrapping"/>
                  </w:r>
                  <w:r>
                    <w:rPr>
                      <w:rFonts w:hint="default" w:ascii="Microsoft YaHei UI" w:hAnsi="宋体"/>
                      <w:b w:val="0"/>
                      <w:i w:val="0"/>
                      <w:color w:val="000000"/>
                      <w:sz w:val="20"/>
                      <w:u w:val="none"/>
                    </w:rPr>
                    <w:t>(万元)</w:t>
                  </w: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0"/>
                      <w:u w:val="none"/>
                      <w:lang w:eastAsia="zh-CN"/>
                    </w:rPr>
                  </w:pPr>
                </w:p>
              </w:tc>
              <w:tc>
                <w:tcPr>
                  <w:tcW w:w="1256"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年初预算数(万元)</w:t>
                  </w:r>
                </w:p>
              </w:tc>
              <w:tc>
                <w:tcPr>
                  <w:tcW w:w="94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全年预算数（万元）</w:t>
                  </w:r>
                </w:p>
              </w:tc>
              <w:tc>
                <w:tcPr>
                  <w:tcW w:w="1764"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全年执行数（万元）</w:t>
                  </w:r>
                </w:p>
              </w:tc>
              <w:tc>
                <w:tcPr>
                  <w:tcW w:w="74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分值</w:t>
                  </w: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执行率</w:t>
                  </w:r>
                </w:p>
              </w:tc>
              <w:tc>
                <w:tcPr>
                  <w:tcW w:w="157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578"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年度资金总额：</w:t>
                  </w:r>
                </w:p>
              </w:tc>
              <w:tc>
                <w:tcPr>
                  <w:tcW w:w="125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1842.22</w:t>
                  </w:r>
                </w:p>
              </w:tc>
              <w:tc>
                <w:tcPr>
                  <w:tcW w:w="946"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1842.22</w:t>
                  </w:r>
                </w:p>
              </w:tc>
              <w:tc>
                <w:tcPr>
                  <w:tcW w:w="1764" w:type="dxa"/>
                  <w:gridSpan w:val="3"/>
                  <w:tcBorders>
                    <w:top w:val="single" w:color="000000" w:sz="4" w:space="0"/>
                    <w:bottom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1842.22</w:t>
                  </w:r>
                </w:p>
              </w:tc>
              <w:tc>
                <w:tcPr>
                  <w:tcW w:w="74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10</w:t>
                  </w: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100.00%</w:t>
                  </w:r>
                </w:p>
              </w:tc>
              <w:tc>
                <w:tcPr>
                  <w:tcW w:w="157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534"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5331" w:type="dxa"/>
                  <w:gridSpan w:val="7"/>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i w:val="0"/>
                      <w:color w:val="000000"/>
                      <w:sz w:val="20"/>
                      <w:u w:val="none"/>
                    </w:rPr>
                  </w:pPr>
                  <w:r>
                    <w:rPr>
                      <w:rFonts w:hint="default" w:ascii="仿宋_GB2312" w:hAnsi="宋体"/>
                      <w:b/>
                      <w:i w:val="0"/>
                      <w:color w:val="000000"/>
                      <w:sz w:val="20"/>
                      <w:u w:val="none"/>
                    </w:rPr>
                    <w:t>按收入性质分：</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宋体" w:hAnsi="宋体" w:eastAsia="宋体"/>
                      <w:b w:val="0"/>
                      <w:i w:val="0"/>
                      <w:color w:val="000000"/>
                      <w:sz w:val="20"/>
                      <w:u w:val="none"/>
                      <w:lang w:eastAsia="zh-CN"/>
                    </w:rPr>
                  </w:pPr>
                  <w:r>
                    <w:rPr>
                      <w:rFonts w:hint="default" w:ascii="宋体" w:hAnsi="宋体" w:eastAsia="宋体"/>
                      <w:b w:val="0"/>
                      <w:i w:val="0"/>
                      <w:color w:val="000000"/>
                      <w:sz w:val="20"/>
                      <w:u w:val="none"/>
                      <w:lang w:eastAsia="zh-CN"/>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743"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一般公共预算：</w:t>
                  </w:r>
                </w:p>
              </w:tc>
              <w:tc>
                <w:tcPr>
                  <w:tcW w:w="3966" w:type="dxa"/>
                  <w:gridSpan w:val="5"/>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1842.22</w:t>
                  </w:r>
                </w:p>
              </w:tc>
              <w:tc>
                <w:tcPr>
                  <w:tcW w:w="746" w:type="dxa"/>
                  <w:vMerge w:val="restart"/>
                  <w:tcBorders>
                    <w:top w:val="single" w:color="000000" w:sz="4" w:space="0"/>
                    <w:left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其中:基本支出：</w:t>
                  </w:r>
                </w:p>
              </w:tc>
              <w:tc>
                <w:tcPr>
                  <w:tcW w:w="2565" w:type="dxa"/>
                  <w:gridSpan w:val="3"/>
                  <w:vMerge w:val="restart"/>
                  <w:tcBorders>
                    <w:top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1744.62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534"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政府性基金拨款：</w:t>
                  </w:r>
                </w:p>
              </w:tc>
              <w:tc>
                <w:tcPr>
                  <w:tcW w:w="3966" w:type="dxa"/>
                  <w:gridSpan w:val="5"/>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0</w:t>
                  </w:r>
                </w:p>
              </w:tc>
              <w:tc>
                <w:tcPr>
                  <w:tcW w:w="746" w:type="dxa"/>
                  <w:vMerge w:val="continue"/>
                  <w:tcBorders>
                    <w:top w:val="single" w:color="000000" w:sz="4" w:space="0"/>
                    <w:left w:val="single" w:color="000000" w:sz="4" w:space="0"/>
                    <w:right w:val="single" w:color="000000" w:sz="4" w:space="0"/>
                  </w:tcBorders>
                  <w:vAlign w:val="center"/>
                </w:tcPr>
                <w:p>
                  <w:pPr>
                    <w:rPr>
                      <w:rFonts w:hint="default" w:ascii="宋体" w:hAnsi="宋体"/>
                      <w:sz w:val="24"/>
                    </w:rPr>
                  </w:pPr>
                </w:p>
              </w:tc>
              <w:tc>
                <w:tcPr>
                  <w:tcW w:w="2565" w:type="dxa"/>
                  <w:gridSpan w:val="3"/>
                  <w:vMerge w:val="continue"/>
                  <w:tcBorders>
                    <w:top w:val="single" w:color="000000" w:sz="4" w:space="0"/>
                    <w:right w:val="single" w:color="000000" w:sz="4"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32"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纳入专户管理的非税收入拨款：</w:t>
                  </w:r>
                </w:p>
              </w:tc>
              <w:tc>
                <w:tcPr>
                  <w:tcW w:w="3966" w:type="dxa"/>
                  <w:gridSpan w:val="5"/>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0.00</w:t>
                  </w:r>
                </w:p>
              </w:tc>
              <w:tc>
                <w:tcPr>
                  <w:tcW w:w="746" w:type="dxa"/>
                  <w:vMerge w:val="restart"/>
                  <w:tcBorders>
                    <w:top w:val="single" w:color="000000" w:sz="4" w:space="0"/>
                    <w:left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项目支出：</w:t>
                  </w:r>
                </w:p>
              </w:tc>
              <w:tc>
                <w:tcPr>
                  <w:tcW w:w="2565" w:type="dxa"/>
                  <w:gridSpan w:val="3"/>
                  <w:vMerge w:val="restart"/>
                  <w:tcBorders>
                    <w:top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97.60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474"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其他资金</w:t>
                  </w:r>
                </w:p>
              </w:tc>
              <w:tc>
                <w:tcPr>
                  <w:tcW w:w="3966" w:type="dxa"/>
                  <w:gridSpan w:val="5"/>
                  <w:tcBorders>
                    <w:top w:val="single" w:color="000000" w:sz="4" w:space="0"/>
                    <w:left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0.00</w:t>
                  </w:r>
                </w:p>
              </w:tc>
              <w:tc>
                <w:tcPr>
                  <w:tcW w:w="746" w:type="dxa"/>
                  <w:vMerge w:val="continue"/>
                  <w:tcBorders>
                    <w:top w:val="single" w:color="000000" w:sz="4" w:space="0"/>
                    <w:left w:val="single" w:color="000000" w:sz="4" w:space="0"/>
                    <w:right w:val="single" w:color="000000" w:sz="4" w:space="0"/>
                  </w:tcBorders>
                  <w:vAlign w:val="center"/>
                </w:tcPr>
                <w:p>
                  <w:pPr>
                    <w:rPr>
                      <w:rFonts w:hint="default" w:ascii="宋体" w:hAnsi="宋体"/>
                      <w:sz w:val="24"/>
                    </w:rPr>
                  </w:pPr>
                </w:p>
              </w:tc>
              <w:tc>
                <w:tcPr>
                  <w:tcW w:w="2565" w:type="dxa"/>
                  <w:gridSpan w:val="3"/>
                  <w:vMerge w:val="continue"/>
                  <w:tcBorders>
                    <w:top w:val="single" w:color="000000" w:sz="4" w:space="0"/>
                    <w:right w:val="single" w:color="000000" w:sz="4"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68" w:hRule="atLeast"/>
              </w:trPr>
              <w:tc>
                <w:tcPr>
                  <w:tcW w:w="1862" w:type="dxa"/>
                  <w:gridSpan w:val="3"/>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年度总体目标</w:t>
                  </w:r>
                </w:p>
              </w:tc>
              <w:tc>
                <w:tcPr>
                  <w:tcW w:w="5331" w:type="dxa"/>
                  <w:gridSpan w:val="7"/>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预期目标</w:t>
                  </w:r>
                </w:p>
              </w:tc>
              <w:tc>
                <w:tcPr>
                  <w:tcW w:w="3311" w:type="dxa"/>
                  <w:gridSpan w:val="4"/>
                  <w:tcBorders>
                    <w:top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1057" w:hRule="atLeast"/>
              </w:trPr>
              <w:tc>
                <w:tcPr>
                  <w:tcW w:w="1862" w:type="dxa"/>
                  <w:gridSpan w:val="3"/>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5331" w:type="dxa"/>
                  <w:gridSpan w:val="7"/>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按照国家政策法规规定和本单位实际情况建立健全财务管理制度和约束机制，依法有效使用财政资金，提高财政资金使用效率，在完成单位职能目标中，合理分配人、财、物，是之达到较高的工作效率和水平。</w:t>
                  </w:r>
                </w:p>
              </w:tc>
              <w:tc>
                <w:tcPr>
                  <w:tcW w:w="3311" w:type="dxa"/>
                  <w:gridSpan w:val="4"/>
                  <w:tcBorders>
                    <w:top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31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绩效指标</w:t>
                  </w:r>
                </w:p>
              </w:tc>
              <w:tc>
                <w:tcPr>
                  <w:tcW w:w="483" w:type="dxa"/>
                  <w:vMerge w:val="restart"/>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一级指标</w:t>
                  </w:r>
                </w:p>
              </w:tc>
              <w:tc>
                <w:tcPr>
                  <w:tcW w:w="914" w:type="dxa"/>
                  <w:vMerge w:val="restart"/>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eastAsia="宋体"/>
                      <w:b/>
                      <w:i w:val="0"/>
                      <w:color w:val="000000"/>
                      <w:sz w:val="22"/>
                      <w:u w:val="none"/>
                      <w:lang w:eastAsia="zh-CN"/>
                    </w:rPr>
                  </w:pPr>
                  <w:r>
                    <w:rPr>
                      <w:rFonts w:hint="default" w:ascii="宋体" w:hAnsi="宋体" w:eastAsia="宋体"/>
                      <w:b/>
                      <w:i w:val="0"/>
                      <w:color w:val="000000"/>
                      <w:sz w:val="22"/>
                      <w:u w:val="none"/>
                      <w:lang w:eastAsia="zh-CN"/>
                    </w:rPr>
                    <w:t>二级指标</w:t>
                  </w:r>
                </w:p>
              </w:tc>
              <w:tc>
                <w:tcPr>
                  <w:tcW w:w="1340"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三级指标</w:t>
                  </w:r>
                </w:p>
              </w:tc>
              <w:tc>
                <w:tcPr>
                  <w:tcW w:w="1281"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年度指标值</w:t>
                  </w:r>
                </w:p>
              </w:tc>
              <w:tc>
                <w:tcPr>
                  <w:tcW w:w="1392"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实际完成值</w:t>
                  </w:r>
                </w:p>
              </w:tc>
              <w:tc>
                <w:tcPr>
                  <w:tcW w:w="498"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分值</w:t>
                  </w:r>
                </w:p>
              </w:tc>
              <w:tc>
                <w:tcPr>
                  <w:tcW w:w="820" w:type="dxa"/>
                  <w:vMerge w:val="restart"/>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得分</w:t>
                  </w:r>
                </w:p>
              </w:tc>
              <w:tc>
                <w:tcPr>
                  <w:tcW w:w="3311" w:type="dxa"/>
                  <w:gridSpan w:val="4"/>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2"/>
                      <w:u w:val="none"/>
                      <w:lang w:eastAsia="zh-CN"/>
                    </w:rPr>
                  </w:pPr>
                  <w:r>
                    <w:rPr>
                      <w:rFonts w:hint="default" w:ascii="宋体" w:hAnsi="宋体" w:eastAsia="宋体"/>
                      <w:b/>
                      <w:i w:val="0"/>
                      <w:color w:val="000000"/>
                      <w:sz w:val="22"/>
                      <w:u w:val="none"/>
                      <w:lang w:eastAsia="zh-CN"/>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945"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rPr>
                      <w:rFonts w:hint="default" w:ascii="宋体" w:hAnsi="宋体"/>
                      <w:sz w:val="24"/>
                    </w:rPr>
                  </w:pPr>
                </w:p>
              </w:tc>
              <w:tc>
                <w:tcPr>
                  <w:tcW w:w="1340"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1281"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1392"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98"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820" w:type="dxa"/>
                  <w:vMerge w:val="continue"/>
                  <w:tcBorders>
                    <w:top w:val="single" w:color="000000" w:sz="4" w:space="0"/>
                    <w:left w:val="single" w:color="000000" w:sz="4" w:space="0"/>
                    <w:bottom w:val="single" w:color="000000" w:sz="4" w:space="0"/>
                  </w:tcBorders>
                  <w:vAlign w:val="center"/>
                </w:tcPr>
                <w:p>
                  <w:pPr>
                    <w:rPr>
                      <w:rFonts w:hint="default" w:ascii="宋体" w:hAnsi="宋体"/>
                      <w:sz w:val="24"/>
                    </w:rPr>
                  </w:pPr>
                </w:p>
              </w:tc>
              <w:tc>
                <w:tcPr>
                  <w:tcW w:w="3311" w:type="dxa"/>
                  <w:gridSpan w:val="4"/>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绩效指标</w:t>
                  </w:r>
                </w:p>
              </w:tc>
              <w:tc>
                <w:tcPr>
                  <w:tcW w:w="483"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产出指标</w:t>
                  </w:r>
                </w:p>
              </w:tc>
              <w:tc>
                <w:tcPr>
                  <w:tcW w:w="914"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数量指标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教师培训人次</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4次</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4次</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一次性退休补贴发放人数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3人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3人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遗属人员</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体检人次</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151人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151人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课后服务人数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141人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141人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restart"/>
                  <w:tcBorders>
                    <w:top w:val="single" w:color="000000" w:sz="4" w:space="0"/>
                    <w:left w:val="single" w:color="000000" w:sz="4" w:space="0"/>
                    <w:right w:val="single" w:color="000000" w:sz="4" w:space="0"/>
                  </w:tcBorders>
                  <w:vAlign w:val="center"/>
                </w:tcPr>
                <w:p>
                  <w:pPr>
                    <w:rPr>
                      <w:rFonts w:hint="default" w:ascii="宋体" w:hAnsi="宋体"/>
                      <w:sz w:val="24"/>
                    </w:rPr>
                  </w:pPr>
                </w:p>
              </w:tc>
              <w:tc>
                <w:tcPr>
                  <w:tcW w:w="483" w:type="dxa"/>
                  <w:tcBorders>
                    <w:top w:val="single" w:color="000000" w:sz="4" w:space="0"/>
                    <w:left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教师节慰问金发放人数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239人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239人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restart"/>
                  <w:tcBorders>
                    <w:top w:val="single" w:color="000000" w:sz="4" w:space="0"/>
                    <w:left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班主任津贴发放人数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64人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64人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质量指标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校园系统完成率</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sz w:val="24"/>
                    </w:rPr>
                  </w:pPr>
                </w:p>
              </w:tc>
              <w:tc>
                <w:tcPr>
                  <w:tcW w:w="1340" w:type="dxa"/>
                  <w:tcBorders>
                    <w:lef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培训考核完成率</w:t>
                  </w:r>
                </w:p>
              </w:tc>
              <w:tc>
                <w:tcPr>
                  <w:tcW w:w="1281" w:type="dxa"/>
                  <w:gridSpan w:val="2"/>
                  <w:tcBorders>
                    <w:lef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1392" w:type="dxa"/>
                  <w:gridSpan w:val="2"/>
                  <w:tcBorders>
                    <w:lef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498"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时效指标</w:t>
                  </w:r>
                </w:p>
              </w:tc>
              <w:tc>
                <w:tcPr>
                  <w:tcW w:w="134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完成时间</w:t>
                  </w:r>
                </w:p>
              </w:tc>
              <w:tc>
                <w:tcPr>
                  <w:tcW w:w="1281"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2023年内完成</w:t>
                  </w:r>
                </w:p>
              </w:tc>
              <w:tc>
                <w:tcPr>
                  <w:tcW w:w="139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2023年内完成</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6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效益指标</w:t>
                  </w:r>
                </w:p>
              </w:tc>
              <w:tc>
                <w:tcPr>
                  <w:tcW w:w="914"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经济效益指标</w:t>
                  </w:r>
                </w:p>
              </w:tc>
              <w:tc>
                <w:tcPr>
                  <w:tcW w:w="134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学生入学率</w:t>
                  </w:r>
                </w:p>
              </w:tc>
              <w:tc>
                <w:tcPr>
                  <w:tcW w:w="1281"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139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宋体" w:hAnsi="宋体"/>
                      <w:sz w:val="24"/>
                    </w:rPr>
                  </w:pPr>
                </w:p>
              </w:tc>
              <w:tc>
                <w:tcPr>
                  <w:tcW w:w="134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提高教师队伍生活质量</w:t>
                  </w:r>
                </w:p>
              </w:tc>
              <w:tc>
                <w:tcPr>
                  <w:tcW w:w="1281"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提高教师队伍生活质量</w:t>
                  </w:r>
                </w:p>
              </w:tc>
              <w:tc>
                <w:tcPr>
                  <w:tcW w:w="139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提高教师队伍生活质量</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74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社会效益指标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学生安全事故发生次数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0</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0</w:t>
                  </w:r>
                </w:p>
              </w:tc>
              <w:tc>
                <w:tcPr>
                  <w:tcW w:w="498" w:type="dxa"/>
                  <w:tcBorders>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生态效益指标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校园环境美化、绿化</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完成</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完成</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4</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6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可持续影响指标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 w:hAnsi="仿宋" w:eastAsia="仿宋"/>
                      <w:b w:val="0"/>
                      <w:i w:val="0"/>
                      <w:color w:val="000000"/>
                      <w:sz w:val="20"/>
                      <w:u w:val="none"/>
                      <w:lang w:eastAsia="zh-CN"/>
                    </w:rPr>
                  </w:pP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1565"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满意度指标</w:t>
                  </w: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服务对象满意度指标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家长满意度</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成本指标</w:t>
                  </w:r>
                </w:p>
              </w:tc>
              <w:tc>
                <w:tcPr>
                  <w:tcW w:w="914"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经济成本指标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基本支出</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1744.62</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1744.62</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项目支出</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97.6</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97.6</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社会成本指标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 w:hAnsi="仿宋" w:eastAsia="仿宋"/>
                      <w:b w:val="0"/>
                      <w:i w:val="0"/>
                      <w:color w:val="000000"/>
                      <w:sz w:val="20"/>
                      <w:u w:val="none"/>
                      <w:lang w:eastAsia="zh-CN"/>
                    </w:rPr>
                  </w:pP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820"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6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生态环境成本指标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 w:hAnsi="仿宋" w:eastAsia="仿宋"/>
                      <w:b w:val="0"/>
                      <w:i w:val="0"/>
                      <w:color w:val="000000"/>
                      <w:sz w:val="20"/>
                      <w:u w:val="none"/>
                      <w:lang w:eastAsia="zh-CN"/>
                    </w:rPr>
                  </w:pP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820"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bl>
          <w:p>
            <w:pPr>
              <w:widowControl/>
              <w:jc w:val="center"/>
              <w:textAlignment w:val="center"/>
              <w:rPr>
                <w:rFonts w:hint="eastAsia" w:ascii="宋体" w:hAnsi="宋体" w:eastAsia="宋体" w:cs="宋体"/>
                <w:b/>
                <w:bCs/>
                <w:i w:val="0"/>
                <w:iCs w:val="0"/>
                <w:color w:val="000000"/>
                <w:sz w:val="52"/>
                <w:szCs w:val="52"/>
                <w:u w:val="none"/>
              </w:rPr>
            </w:pPr>
          </w:p>
        </w:tc>
      </w:tr>
    </w:tbl>
    <w:p>
      <w:pPr>
        <w:pStyle w:val="2"/>
        <w:widowControl w:val="0"/>
        <w:wordWrap/>
        <w:adjustRightInd/>
        <w:snapToGrid/>
        <w:spacing w:line="240" w:lineRule="atLeast"/>
        <w:jc w:val="both"/>
        <w:textAlignment w:val="auto"/>
        <w:rPr>
          <w:rFonts w:hint="eastAsia" w:ascii="黑体" w:hAnsi="黑体" w:eastAsia="黑体"/>
          <w:kern w:val="0"/>
          <w:sz w:val="32"/>
          <w:szCs w:val="32"/>
        </w:rPr>
      </w:pPr>
    </w:p>
    <w:p>
      <w:pPr>
        <w:pStyle w:val="2"/>
        <w:widowControl w:val="0"/>
        <w:wordWrap/>
        <w:adjustRightInd/>
        <w:snapToGrid/>
        <w:spacing w:line="240" w:lineRule="atLeast"/>
        <w:jc w:val="center"/>
        <w:textAlignment w:val="auto"/>
        <w:rPr>
          <w:rFonts w:ascii="黑体" w:hAnsi="黑体" w:eastAsia="黑体"/>
          <w:kern w:val="0"/>
          <w:sz w:val="32"/>
          <w:szCs w:val="32"/>
        </w:rPr>
      </w:pPr>
      <w:r>
        <w:rPr>
          <w:rFonts w:hint="eastAsia" w:ascii="黑体" w:hAnsi="黑体" w:eastAsia="黑体"/>
          <w:kern w:val="0"/>
          <w:sz w:val="32"/>
          <w:szCs w:val="32"/>
        </w:rPr>
        <w:t>江永县</w:t>
      </w:r>
      <w:r>
        <w:rPr>
          <w:rFonts w:hint="eastAsia" w:ascii="黑体" w:hAnsi="黑体" w:eastAsia="黑体"/>
          <w:kern w:val="0"/>
          <w:sz w:val="32"/>
          <w:szCs w:val="32"/>
          <w:lang w:eastAsia="zh-CN"/>
        </w:rPr>
        <w:t>第一小</w:t>
      </w:r>
      <w:r>
        <w:rPr>
          <w:rFonts w:hint="eastAsia" w:ascii="黑体" w:hAnsi="黑体" w:eastAsia="黑体"/>
          <w:kern w:val="0"/>
          <w:sz w:val="32"/>
          <w:szCs w:val="32"/>
        </w:rPr>
        <w:t>学</w:t>
      </w:r>
      <w:r>
        <w:rPr>
          <w:rFonts w:ascii="黑体" w:hAnsi="黑体" w:eastAsia="黑体"/>
          <w:kern w:val="0"/>
          <w:sz w:val="32"/>
          <w:szCs w:val="32"/>
        </w:rPr>
        <w:t>部门整体支出绩效评价表</w:t>
      </w:r>
    </w:p>
    <w:tbl>
      <w:tblPr>
        <w:tblStyle w:val="5"/>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2320" w:hRule="atLeast"/>
          <w:jc w:val="center"/>
        </w:trPr>
        <w:tc>
          <w:tcPr>
            <w:tcW w:w="518" w:type="dxa"/>
            <w:tcBorders>
              <w:top w:val="single" w:color="auto" w:sz="4" w:space="0"/>
              <w:left w:val="single" w:color="auto" w:sz="4" w:space="0"/>
              <w:bottom w:val="single" w:color="auto" w:sz="4" w:space="0"/>
              <w:right w:val="single" w:color="auto" w:sz="4" w:space="0"/>
            </w:tcBorders>
            <w:vAlign w:val="center"/>
          </w:tcPr>
          <w:p>
            <w:pPr>
              <w:widowControl/>
              <w:jc w:val="left"/>
            </w:pPr>
          </w:p>
          <w:p>
            <w:pPr>
              <w:pStyle w:val="2"/>
            </w:pPr>
          </w:p>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ascii="仿宋_GB2312" w:hAnsi="仿宋_GB2312" w:eastAsia="仿宋_GB2312"/>
                <w:kern w:val="0"/>
                <w:sz w:val="20"/>
                <w:szCs w:val="20"/>
              </w:rPr>
            </w:pPr>
          </w:p>
        </w:tc>
        <w:tc>
          <w:tcPr>
            <w:tcW w:w="522" w:type="dxa"/>
            <w:tcBorders>
              <w:top w:val="nil"/>
              <w:left w:val="nil"/>
              <w:bottom w:val="single" w:color="auto" w:sz="4" w:space="0"/>
              <w:right w:val="single" w:color="auto" w:sz="4" w:space="0"/>
            </w:tcBorders>
            <w:vAlign w:val="center"/>
          </w:tcPr>
          <w:p>
            <w:pPr>
              <w:widowControl/>
              <w:jc w:val="left"/>
              <w:rPr>
                <w:color w:val="000000"/>
                <w:kern w:val="0"/>
                <w:sz w:val="24"/>
              </w:rPr>
            </w:pPr>
            <w:r>
              <w:rPr>
                <w:color w:val="FF0000"/>
                <w:kern w:val="0"/>
                <w:sz w:val="24"/>
              </w:rPr>
              <w:t>　</w:t>
            </w:r>
            <w:r>
              <w:rPr>
                <w:rFonts w:hint="eastAsia"/>
                <w:color w:val="000000"/>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ascii="仿宋_GB2312" w:hAnsi="仿宋_GB2312" w:eastAsia="仿宋_GB2312"/>
                <w:kern w:val="0"/>
                <w:sz w:val="20"/>
                <w:szCs w:val="20"/>
              </w:rPr>
            </w:pP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pPr>
              <w:widowControl/>
              <w:jc w:val="left"/>
              <w:rPr>
                <w:color w:val="000000"/>
                <w:kern w:val="0"/>
                <w:sz w:val="24"/>
              </w:rPr>
            </w:pPr>
            <w:r>
              <w:rPr>
                <w:rFonts w:hint="eastAsia"/>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6</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3251"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21</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vAlign w:val="center"/>
          </w:tcPr>
          <w:p>
            <w:pPr>
              <w:widowControl/>
              <w:jc w:val="left"/>
              <w:rPr>
                <w:kern w:val="0"/>
                <w:sz w:val="24"/>
              </w:rPr>
            </w:pP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vAlign w:val="center"/>
          </w:tcPr>
          <w:p>
            <w:pPr>
              <w:widowControl/>
              <w:jc w:val="left"/>
              <w:rPr>
                <w:kern w:val="0"/>
                <w:sz w:val="24"/>
              </w:rPr>
            </w:pPr>
            <w:r>
              <w:rPr>
                <w:kern w:val="0"/>
                <w:sz w:val="24"/>
              </w:rPr>
              <w:t>　</w:t>
            </w:r>
            <w:r>
              <w:rPr>
                <w:rFonts w:hint="eastAsia"/>
                <w:kern w:val="0"/>
                <w:sz w:val="24"/>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vAlign w:val="center"/>
          </w:tcPr>
          <w:p>
            <w:pPr>
              <w:widowControl/>
              <w:jc w:val="left"/>
              <w:rPr>
                <w:rFonts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vAlign w:val="center"/>
          </w:tcPr>
          <w:p>
            <w:pPr>
              <w:widowControl/>
              <w:jc w:val="left"/>
              <w:rPr>
                <w:kern w:val="0"/>
                <w:sz w:val="24"/>
              </w:rPr>
            </w:pPr>
            <w:r>
              <w:rPr>
                <w:rFonts w:hint="eastAsia"/>
                <w:kern w:val="0"/>
                <w:sz w:val="24"/>
              </w:rPr>
              <w:t>6</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vAlign w:val="center"/>
          </w:tcPr>
          <w:p>
            <w:pPr>
              <w:widowControl/>
              <w:rPr>
                <w:rFonts w:ascii="宋体" w:hAnsi="宋体"/>
                <w:color w:val="000000"/>
                <w:kern w:val="0"/>
                <w:sz w:val="24"/>
              </w:rPr>
            </w:pPr>
            <w:r>
              <w:rPr>
                <w:rFonts w:hint="eastAsia" w:ascii="宋体" w:hAnsi="宋体"/>
                <w:color w:val="000000"/>
                <w:kern w:val="0"/>
                <w:sz w:val="24"/>
              </w:rPr>
              <w:t>100</w:t>
            </w:r>
          </w:p>
        </w:tc>
      </w:tr>
    </w:tbl>
    <w:p>
      <w:pPr>
        <w:widowControl/>
        <w:spacing w:line="560" w:lineRule="exact"/>
        <w:jc w:val="both"/>
        <w:rPr>
          <w:rFonts w:eastAsia="方正小标宋_GBK"/>
          <w:color w:val="000000"/>
          <w:kern w:val="0"/>
          <w:sz w:val="44"/>
          <w:szCs w:val="44"/>
        </w:rPr>
      </w:pPr>
    </w:p>
    <w:p>
      <w:pPr>
        <w:rPr>
          <w:rFonts w:hint="eastAsia"/>
          <w:lang w:val="en-US" w:eastAsia="zh-CN"/>
        </w:rPr>
      </w:pPr>
    </w:p>
    <w:p>
      <w:pPr>
        <w:jc w:val="center"/>
        <w:rPr>
          <w:rFonts w:hint="eastAsia" w:ascii="宋体" w:hAnsi="宋体" w:eastAsia="宋体"/>
          <w:b/>
          <w:sz w:val="44"/>
          <w:szCs w:val="44"/>
        </w:rPr>
      </w:pPr>
      <w:r>
        <w:rPr>
          <w:rFonts w:hint="eastAsia" w:ascii="宋体" w:hAnsi="宋体" w:eastAsia="宋体"/>
          <w:b/>
          <w:sz w:val="44"/>
          <w:szCs w:val="44"/>
          <w:lang w:eastAsia="zh-CN"/>
        </w:rPr>
        <w:t>课后服务</w:t>
      </w:r>
      <w:r>
        <w:rPr>
          <w:rFonts w:hint="eastAsia" w:ascii="宋体" w:hAnsi="宋体" w:eastAsia="宋体"/>
          <w:b/>
          <w:sz w:val="44"/>
          <w:szCs w:val="44"/>
        </w:rPr>
        <w:t>专项经费2023年绩效</w:t>
      </w:r>
    </w:p>
    <w:p>
      <w:pPr>
        <w:jc w:val="center"/>
        <w:rPr>
          <w:rFonts w:hint="eastAsia" w:ascii="宋体" w:hAnsi="宋体" w:eastAsia="宋体"/>
          <w:b/>
          <w:sz w:val="44"/>
          <w:szCs w:val="44"/>
        </w:rPr>
      </w:pPr>
      <w:r>
        <w:rPr>
          <w:rFonts w:hint="eastAsia" w:ascii="宋体" w:hAnsi="宋体" w:eastAsia="宋体"/>
          <w:b/>
          <w:sz w:val="44"/>
          <w:szCs w:val="44"/>
        </w:rPr>
        <w:t>自评报告</w:t>
      </w:r>
    </w:p>
    <w:p>
      <w:pPr>
        <w:ind w:firstLine="560" w:firstLineChars="200"/>
        <w:rPr>
          <w:rFonts w:ascii="宋体" w:hAnsi="宋体" w:eastAsia="宋体"/>
          <w:sz w:val="28"/>
          <w:szCs w:val="28"/>
        </w:rPr>
      </w:pPr>
      <w:r>
        <w:rPr>
          <w:rFonts w:hint="eastAsia" w:ascii="宋体" w:hAnsi="宋体" w:eastAsia="宋体"/>
          <w:sz w:val="28"/>
          <w:szCs w:val="28"/>
        </w:rPr>
        <w:t>为</w:t>
      </w:r>
      <w:r>
        <w:rPr>
          <w:rFonts w:hint="eastAsia" w:ascii="宋体" w:hAnsi="宋体" w:eastAsia="宋体"/>
          <w:color w:val="000000"/>
          <w:spacing w:val="-2"/>
          <w:sz w:val="28"/>
          <w:szCs w:val="28"/>
        </w:rPr>
        <w:t>进一步规范和加强项目资金管理，切实提高财政资金使用效益，</w:t>
      </w:r>
      <w:r>
        <w:rPr>
          <w:rFonts w:hint="eastAsia" w:ascii="宋体" w:hAnsi="宋体" w:eastAsia="宋体"/>
          <w:sz w:val="28"/>
          <w:szCs w:val="28"/>
        </w:rPr>
        <w:t>我校对</w:t>
      </w:r>
      <w:r>
        <w:rPr>
          <w:rFonts w:hint="eastAsia" w:ascii="宋体" w:hAnsi="宋体" w:eastAsia="宋体"/>
          <w:sz w:val="28"/>
          <w:szCs w:val="28"/>
          <w:lang w:eastAsia="zh-CN"/>
        </w:rPr>
        <w:t>课后服务</w:t>
      </w:r>
      <w:r>
        <w:rPr>
          <w:rFonts w:hint="eastAsia" w:ascii="宋体" w:hAnsi="宋体" w:eastAsia="宋体"/>
          <w:sz w:val="28"/>
          <w:szCs w:val="28"/>
        </w:rPr>
        <w:t>专项经费进行了认真、仔细的绩效自评。</w:t>
      </w:r>
    </w:p>
    <w:p>
      <w:pPr>
        <w:ind w:firstLine="562" w:firstLineChars="200"/>
        <w:rPr>
          <w:rFonts w:ascii="宋体" w:hAnsi="宋体"/>
          <w:b/>
          <w:bCs/>
          <w:sz w:val="28"/>
          <w:szCs w:val="28"/>
        </w:rPr>
      </w:pPr>
      <w:r>
        <w:rPr>
          <w:rFonts w:hint="eastAsia" w:ascii="宋体" w:hAnsi="宋体"/>
          <w:b/>
          <w:bCs/>
          <w:sz w:val="28"/>
          <w:szCs w:val="28"/>
        </w:rPr>
        <w:t>一、绩效目标分解下达情况</w:t>
      </w:r>
    </w:p>
    <w:p>
      <w:pPr>
        <w:ind w:firstLine="560" w:firstLineChars="200"/>
        <w:rPr>
          <w:rFonts w:ascii="宋体" w:hAnsi="宋体"/>
          <w:sz w:val="28"/>
          <w:szCs w:val="28"/>
        </w:rPr>
      </w:pPr>
      <w:r>
        <w:rPr>
          <w:rFonts w:hint="eastAsia" w:ascii="宋体" w:hAnsi="宋体"/>
          <w:sz w:val="28"/>
          <w:szCs w:val="28"/>
        </w:rPr>
        <w:t>2023年度</w:t>
      </w:r>
      <w:r>
        <w:rPr>
          <w:rFonts w:hint="eastAsia" w:ascii="宋体" w:hAnsi="宋体"/>
          <w:sz w:val="28"/>
          <w:szCs w:val="28"/>
          <w:lang w:eastAsia="zh-CN"/>
        </w:rPr>
        <w:t>江永县第一小学课后服务专项经费</w:t>
      </w:r>
      <w:r>
        <w:rPr>
          <w:rFonts w:hint="eastAsia" w:ascii="宋体" w:hAnsi="宋体"/>
          <w:sz w:val="28"/>
          <w:szCs w:val="28"/>
        </w:rPr>
        <w:t xml:space="preserve">资金 </w:t>
      </w:r>
      <w:r>
        <w:rPr>
          <w:rFonts w:hint="eastAsia" w:ascii="宋体" w:hAnsi="宋体"/>
          <w:sz w:val="28"/>
          <w:szCs w:val="28"/>
          <w:lang w:val="en-US" w:eastAsia="zh-CN"/>
        </w:rPr>
        <w:t>97.6</w:t>
      </w:r>
      <w:r>
        <w:rPr>
          <w:rFonts w:hint="eastAsia" w:ascii="宋体" w:hAnsi="宋体"/>
          <w:sz w:val="28"/>
          <w:szCs w:val="28"/>
        </w:rPr>
        <w:t>万元，</w:t>
      </w:r>
      <w:r>
        <w:rPr>
          <w:rFonts w:hint="eastAsia" w:ascii="宋体" w:hAnsi="宋体"/>
          <w:sz w:val="28"/>
          <w:szCs w:val="28"/>
          <w:lang w:eastAsia="zh-CN"/>
        </w:rPr>
        <w:t>资金来源是参加课后服务的学生家长缴纳课后服务费，</w:t>
      </w:r>
      <w:r>
        <w:rPr>
          <w:rFonts w:hint="eastAsia" w:ascii="宋体" w:hAnsi="宋体"/>
          <w:sz w:val="28"/>
          <w:szCs w:val="28"/>
        </w:rPr>
        <w:t>截至 2023年12月 31 日，共支出</w:t>
      </w:r>
      <w:r>
        <w:rPr>
          <w:rFonts w:hint="eastAsia" w:ascii="宋体" w:hAnsi="宋体"/>
          <w:sz w:val="28"/>
          <w:szCs w:val="28"/>
          <w:lang w:val="en-US" w:eastAsia="zh-CN"/>
        </w:rPr>
        <w:t>97.6</w:t>
      </w:r>
      <w:r>
        <w:rPr>
          <w:rFonts w:hint="eastAsia" w:ascii="宋体" w:hAnsi="宋体"/>
          <w:sz w:val="28"/>
          <w:szCs w:val="28"/>
        </w:rPr>
        <w:t>万元，完成率为100%。</w:t>
      </w:r>
    </w:p>
    <w:p/>
    <w:p>
      <w:pPr>
        <w:ind w:firstLine="562" w:firstLineChars="200"/>
        <w:rPr>
          <w:rFonts w:ascii="宋体" w:hAnsi="宋体"/>
          <w:b/>
          <w:bCs/>
          <w:sz w:val="28"/>
          <w:szCs w:val="28"/>
        </w:rPr>
      </w:pPr>
      <w:r>
        <w:rPr>
          <w:rFonts w:hint="eastAsia" w:ascii="宋体" w:hAnsi="宋体"/>
          <w:b/>
          <w:bCs/>
          <w:sz w:val="28"/>
          <w:szCs w:val="28"/>
        </w:rPr>
        <w:t>二、绩效目标完成情况分析</w:t>
      </w:r>
    </w:p>
    <w:p>
      <w:pPr>
        <w:ind w:firstLine="560" w:firstLineChars="200"/>
        <w:rPr>
          <w:rFonts w:hint="eastAsia" w:ascii="宋体" w:hAnsi="宋体"/>
          <w:sz w:val="28"/>
          <w:szCs w:val="28"/>
        </w:rPr>
      </w:pPr>
      <w:r>
        <w:rPr>
          <w:rFonts w:hint="eastAsia" w:ascii="宋体" w:hAnsi="宋体"/>
          <w:sz w:val="28"/>
          <w:szCs w:val="28"/>
        </w:rPr>
        <w:t>（一）资金投入情况分析：</w:t>
      </w:r>
    </w:p>
    <w:p>
      <w:pPr>
        <w:ind w:firstLine="560" w:firstLineChars="200"/>
        <w:rPr>
          <w:rFonts w:hint="eastAsia" w:ascii="宋体" w:hAnsi="宋体"/>
          <w:sz w:val="28"/>
          <w:szCs w:val="28"/>
        </w:rPr>
      </w:pPr>
      <w:r>
        <w:rPr>
          <w:rFonts w:hint="eastAsia" w:ascii="宋体" w:hAnsi="宋体"/>
          <w:sz w:val="28"/>
          <w:szCs w:val="28"/>
        </w:rPr>
        <w:t>2023年度江永县</w:t>
      </w:r>
      <w:r>
        <w:rPr>
          <w:rFonts w:hint="eastAsia" w:ascii="宋体" w:hAnsi="宋体"/>
          <w:sz w:val="28"/>
          <w:szCs w:val="28"/>
          <w:lang w:eastAsia="zh-CN"/>
        </w:rPr>
        <w:t>第一小学课后服务专项经费</w:t>
      </w:r>
      <w:r>
        <w:rPr>
          <w:rFonts w:hint="eastAsia" w:ascii="宋体" w:hAnsi="宋体"/>
          <w:sz w:val="28"/>
          <w:szCs w:val="28"/>
        </w:rPr>
        <w:t xml:space="preserve">资金 </w:t>
      </w:r>
      <w:r>
        <w:rPr>
          <w:rFonts w:hint="eastAsia" w:ascii="宋体" w:hAnsi="宋体"/>
          <w:sz w:val="28"/>
          <w:szCs w:val="28"/>
          <w:lang w:val="en-US" w:eastAsia="zh-CN"/>
        </w:rPr>
        <w:t>97.6</w:t>
      </w:r>
      <w:r>
        <w:rPr>
          <w:rFonts w:hint="eastAsia" w:ascii="宋体" w:hAnsi="宋体"/>
          <w:sz w:val="28"/>
          <w:szCs w:val="28"/>
        </w:rPr>
        <w:t>万元，到位率 100%。</w:t>
      </w:r>
    </w:p>
    <w:p>
      <w:pPr>
        <w:ind w:firstLine="560" w:firstLineChars="200"/>
        <w:rPr>
          <w:rFonts w:ascii="宋体" w:hAnsi="宋体"/>
          <w:sz w:val="28"/>
          <w:szCs w:val="28"/>
        </w:rPr>
      </w:pPr>
      <w:r>
        <w:rPr>
          <w:rFonts w:hint="eastAsia" w:ascii="宋体" w:hAnsi="宋体"/>
          <w:sz w:val="28"/>
          <w:szCs w:val="28"/>
        </w:rPr>
        <w:t>（二）项目资金执行情况分析</w:t>
      </w:r>
    </w:p>
    <w:p>
      <w:pPr>
        <w:ind w:firstLine="560" w:firstLineChars="200"/>
        <w:rPr>
          <w:rFonts w:hint="eastAsia" w:ascii="宋体" w:hAnsi="宋体"/>
          <w:sz w:val="28"/>
          <w:szCs w:val="28"/>
        </w:rPr>
      </w:pPr>
      <w:r>
        <w:rPr>
          <w:rFonts w:hint="eastAsia" w:ascii="宋体" w:hAnsi="宋体"/>
          <w:sz w:val="28"/>
          <w:szCs w:val="28"/>
        </w:rPr>
        <w:t>2023年度江永县</w:t>
      </w:r>
      <w:r>
        <w:rPr>
          <w:rFonts w:hint="eastAsia" w:ascii="宋体" w:hAnsi="宋体"/>
          <w:sz w:val="28"/>
          <w:szCs w:val="28"/>
          <w:lang w:eastAsia="zh-CN"/>
        </w:rPr>
        <w:t>第一小学课后服务专项</w:t>
      </w:r>
      <w:r>
        <w:rPr>
          <w:rFonts w:hint="eastAsia" w:ascii="宋体" w:hAnsi="宋体"/>
          <w:sz w:val="28"/>
          <w:szCs w:val="28"/>
        </w:rPr>
        <w:t>资金项目用途进行保障支付</w:t>
      </w:r>
      <w:r>
        <w:rPr>
          <w:rFonts w:hint="eastAsia" w:ascii="宋体" w:hAnsi="宋体"/>
          <w:sz w:val="28"/>
          <w:szCs w:val="28"/>
          <w:lang w:eastAsia="zh-CN"/>
        </w:rPr>
        <w:t>，课后服务专项</w:t>
      </w:r>
      <w:r>
        <w:rPr>
          <w:rFonts w:hint="eastAsia" w:ascii="宋体" w:hAnsi="宋体"/>
          <w:sz w:val="28"/>
          <w:szCs w:val="28"/>
        </w:rPr>
        <w:t>资金主要用于</w:t>
      </w:r>
      <w:r>
        <w:rPr>
          <w:rFonts w:hint="eastAsia" w:ascii="宋体" w:hAnsi="宋体"/>
          <w:sz w:val="28"/>
          <w:szCs w:val="28"/>
          <w:lang w:eastAsia="zh-CN"/>
        </w:rPr>
        <w:t>教师对学校参加课后服务项目的学生进行辅导支出的费用</w:t>
      </w:r>
      <w:r>
        <w:rPr>
          <w:rFonts w:hint="eastAsia" w:ascii="宋体" w:hAnsi="宋体"/>
          <w:sz w:val="28"/>
          <w:szCs w:val="28"/>
        </w:rPr>
        <w:t>开支。截止 2023年12月 31 日，共支出</w:t>
      </w:r>
      <w:r>
        <w:rPr>
          <w:rFonts w:hint="eastAsia" w:ascii="宋体" w:hAnsi="宋体"/>
          <w:sz w:val="28"/>
          <w:szCs w:val="28"/>
          <w:lang w:val="en-US" w:eastAsia="zh-CN"/>
        </w:rPr>
        <w:t>97.6</w:t>
      </w:r>
      <w:r>
        <w:rPr>
          <w:rFonts w:hint="eastAsia" w:ascii="宋体" w:hAnsi="宋体"/>
          <w:sz w:val="28"/>
          <w:szCs w:val="28"/>
        </w:rPr>
        <w:t>万元。</w:t>
      </w:r>
    </w:p>
    <w:p>
      <w:pPr>
        <w:numPr>
          <w:ilvl w:val="0"/>
          <w:numId w:val="1"/>
        </w:numPr>
        <w:ind w:firstLine="560" w:firstLineChars="200"/>
        <w:rPr>
          <w:rFonts w:hint="eastAsia" w:ascii="宋体" w:hAnsi="宋体"/>
          <w:sz w:val="28"/>
          <w:szCs w:val="28"/>
        </w:rPr>
      </w:pPr>
      <w:r>
        <w:rPr>
          <w:rFonts w:hint="eastAsia" w:ascii="宋体" w:hAnsi="宋体"/>
          <w:sz w:val="28"/>
          <w:szCs w:val="28"/>
        </w:rPr>
        <w:t>项目资金管理情况分析</w:t>
      </w:r>
    </w:p>
    <w:p>
      <w:pPr>
        <w:numPr>
          <w:ilvl w:val="0"/>
          <w:numId w:val="0"/>
        </w:numPr>
        <w:rPr>
          <w:rFonts w:hint="eastAsia" w:ascii="宋体" w:hAnsi="宋体"/>
          <w:sz w:val="28"/>
          <w:szCs w:val="28"/>
        </w:rPr>
      </w:pPr>
      <w:r>
        <w:rPr>
          <w:rFonts w:hint="eastAsia" w:ascii="宋体" w:hAnsi="宋体"/>
          <w:sz w:val="28"/>
          <w:szCs w:val="28"/>
          <w:lang w:val="en-US" w:eastAsia="zh-CN"/>
        </w:rPr>
        <w:t xml:space="preserve">   </w:t>
      </w:r>
      <w:r>
        <w:rPr>
          <w:rFonts w:hint="eastAsia" w:ascii="宋体" w:hAnsi="宋体"/>
          <w:sz w:val="28"/>
          <w:szCs w:val="28"/>
        </w:rPr>
        <w:t>1.加强专项资金管理，提高资金使用效益。在项目组织实施过程中，根据国家相关法律法规，结合本单位的财务管理规定，对专项资金管理使用做了统筹安排，统一部署，明确了工作职责和要求。</w:t>
      </w:r>
    </w:p>
    <w:p>
      <w:pPr>
        <w:ind w:firstLine="560" w:firstLineChars="200"/>
        <w:rPr>
          <w:rFonts w:hint="eastAsia" w:ascii="宋体" w:hAnsi="宋体"/>
          <w:sz w:val="28"/>
          <w:szCs w:val="28"/>
        </w:rPr>
      </w:pPr>
      <w:r>
        <w:rPr>
          <w:rFonts w:hint="eastAsia" w:ascii="宋体" w:hAnsi="宋体"/>
          <w:sz w:val="28"/>
          <w:szCs w:val="28"/>
        </w:rPr>
        <w:t>2.做好项目实施的跟踪检查工作，确保项目实施工作稳步推进，达到预期绩效目标。所有项目的日常管理工作均按照专项资金支付要求执行，全面完成了既定的工作目标，工作取得了较好的成效获得了社会公众的好评。</w:t>
      </w:r>
    </w:p>
    <w:p>
      <w:pPr>
        <w:ind w:firstLine="562" w:firstLineChars="200"/>
        <w:rPr>
          <w:rFonts w:ascii="宋体" w:hAnsi="宋体"/>
          <w:b/>
          <w:bCs/>
          <w:sz w:val="28"/>
          <w:szCs w:val="28"/>
        </w:rPr>
      </w:pPr>
      <w:r>
        <w:rPr>
          <w:rFonts w:hint="eastAsia" w:ascii="宋体" w:hAnsi="宋体"/>
          <w:b/>
          <w:bCs/>
          <w:sz w:val="28"/>
          <w:szCs w:val="28"/>
        </w:rPr>
        <w:t>三、下一步改进措施</w:t>
      </w:r>
    </w:p>
    <w:p>
      <w:pPr>
        <w:ind w:firstLine="560" w:firstLineChars="200"/>
        <w:rPr>
          <w:rFonts w:hint="eastAsia" w:ascii="宋体" w:hAnsi="宋体"/>
          <w:sz w:val="28"/>
          <w:szCs w:val="28"/>
        </w:rPr>
      </w:pPr>
      <w:r>
        <w:rPr>
          <w:rFonts w:hint="eastAsia" w:ascii="宋体" w:hAnsi="宋体"/>
          <w:sz w:val="28"/>
          <w:szCs w:val="28"/>
        </w:rPr>
        <w:t>一是建议加大</w:t>
      </w:r>
      <w:r>
        <w:rPr>
          <w:rFonts w:hint="eastAsia" w:ascii="宋体" w:hAnsi="宋体"/>
          <w:sz w:val="28"/>
          <w:szCs w:val="28"/>
          <w:lang w:eastAsia="zh-CN"/>
        </w:rPr>
        <w:t>课后服务的管理</w:t>
      </w:r>
      <w:r>
        <w:rPr>
          <w:rFonts w:hint="eastAsia" w:ascii="宋体" w:hAnsi="宋体"/>
          <w:sz w:val="28"/>
          <w:szCs w:val="28"/>
        </w:rPr>
        <w:t>力度，</w:t>
      </w:r>
      <w:r>
        <w:rPr>
          <w:rFonts w:hint="eastAsia" w:ascii="宋体" w:hAnsi="宋体"/>
          <w:sz w:val="28"/>
          <w:szCs w:val="28"/>
          <w:lang w:eastAsia="zh-CN"/>
        </w:rPr>
        <w:t>增加课后服务项目，满足学生的需求，</w:t>
      </w:r>
      <w:r>
        <w:rPr>
          <w:rFonts w:hint="eastAsia" w:ascii="宋体" w:hAnsi="宋体"/>
          <w:sz w:val="28"/>
          <w:szCs w:val="28"/>
        </w:rPr>
        <w:t>提高教学环境和质量，促进教育事业的健康快速高质量发展。</w:t>
      </w:r>
    </w:p>
    <w:p>
      <w:pPr>
        <w:ind w:firstLine="560" w:firstLineChars="200"/>
        <w:rPr>
          <w:rFonts w:hint="eastAsia" w:ascii="宋体" w:hAnsi="宋体"/>
          <w:sz w:val="28"/>
          <w:szCs w:val="28"/>
        </w:rPr>
      </w:pPr>
      <w:r>
        <w:rPr>
          <w:rFonts w:hint="eastAsia" w:ascii="宋体" w:hAnsi="宋体"/>
          <w:sz w:val="28"/>
          <w:szCs w:val="28"/>
        </w:rPr>
        <w:t>二是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pPr>
        <w:rPr>
          <w:rFonts w:hint="eastAsia"/>
        </w:rPr>
      </w:pPr>
      <w:r>
        <w:rPr>
          <w:rFonts w:hint="eastAsia"/>
        </w:rPr>
        <w:t xml:space="preserve">                      </w:t>
      </w:r>
    </w:p>
    <w:p>
      <w:pPr>
        <w:pStyle w:val="2"/>
        <w:rPr>
          <w:rFonts w:hint="eastAsia"/>
        </w:rPr>
      </w:pPr>
    </w:p>
    <w:p>
      <w:pPr>
        <w:rPr>
          <w:rFonts w:hint="eastAsia"/>
          <w:sz w:val="28"/>
          <w:szCs w:val="28"/>
          <w:lang w:val="en-US" w:eastAsia="zh-CN"/>
        </w:rPr>
      </w:pPr>
      <w:r>
        <w:rPr>
          <w:rFonts w:hint="eastAsia"/>
          <w:lang w:val="en-US" w:eastAsia="zh-CN"/>
        </w:rPr>
        <w:t xml:space="preserve">                                                         </w:t>
      </w:r>
      <w:r>
        <w:rPr>
          <w:rFonts w:hint="eastAsia"/>
          <w:sz w:val="28"/>
          <w:szCs w:val="28"/>
          <w:lang w:val="en-US" w:eastAsia="zh-CN"/>
        </w:rPr>
        <w:t xml:space="preserve">  江永县第一小学</w:t>
      </w:r>
    </w:p>
    <w:p>
      <w:pPr>
        <w:pStyle w:val="2"/>
        <w:rPr>
          <w:rFonts w:hint="eastAsia"/>
          <w:b w:val="0"/>
          <w:bCs/>
          <w:lang w:val="en-US" w:eastAsia="zh-CN"/>
        </w:rPr>
      </w:pPr>
      <w:r>
        <w:rPr>
          <w:rFonts w:hint="eastAsia"/>
          <w:sz w:val="28"/>
          <w:szCs w:val="28"/>
          <w:lang w:val="en-US" w:eastAsia="zh-CN"/>
        </w:rPr>
        <w:t xml:space="preserve">                                           </w:t>
      </w:r>
      <w:r>
        <w:rPr>
          <w:rFonts w:hint="eastAsia"/>
          <w:b w:val="0"/>
          <w:bCs/>
          <w:sz w:val="28"/>
          <w:szCs w:val="28"/>
          <w:lang w:val="en-US" w:eastAsia="zh-CN"/>
        </w:rPr>
        <w:t xml:space="preserve"> 2024年4月16日</w:t>
      </w:r>
    </w:p>
    <w:p>
      <w:pPr>
        <w:rPr>
          <w:rFonts w:hint="eastAsia"/>
        </w:rPr>
      </w:pPr>
    </w:p>
    <w:p>
      <w:pPr>
        <w:rPr>
          <w:rFonts w:hint="eastAsia"/>
        </w:rPr>
      </w:pPr>
    </w:p>
    <w:p>
      <w:pPr>
        <w:rPr>
          <w:rFonts w:hint="eastAsia"/>
        </w:rPr>
      </w:pPr>
    </w:p>
    <w:p>
      <w:pPr>
        <w:ind w:firstLine="560" w:firstLineChars="200"/>
        <w:rPr>
          <w:rFonts w:ascii="宋体" w:hAnsi="宋体"/>
          <w:sz w:val="28"/>
          <w:szCs w:val="28"/>
        </w:rPr>
      </w:pPr>
    </w:p>
    <w:p>
      <w:pPr>
        <w:pStyle w:val="2"/>
      </w:pPr>
    </w:p>
    <w:tbl>
      <w:tblPr>
        <w:tblStyle w:val="5"/>
        <w:tblW w:w="10238" w:type="dxa"/>
        <w:tblInd w:w="-81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1425"/>
        <w:gridCol w:w="569"/>
        <w:gridCol w:w="867"/>
        <w:gridCol w:w="1328"/>
        <w:gridCol w:w="1184"/>
        <w:gridCol w:w="1314"/>
        <w:gridCol w:w="30"/>
        <w:gridCol w:w="866"/>
        <w:gridCol w:w="30"/>
        <w:gridCol w:w="1323"/>
        <w:gridCol w:w="13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99" w:hRule="atLeast"/>
        </w:trPr>
        <w:tc>
          <w:tcPr>
            <w:tcW w:w="10238" w:type="dxa"/>
            <w:gridSpan w:val="11"/>
            <w:vAlign w:val="center"/>
          </w:tcPr>
          <w:p>
            <w:pPr>
              <w:autoSpaceDN w:val="0"/>
              <w:jc w:val="center"/>
              <w:textAlignment w:val="center"/>
              <w:rPr>
                <w:rFonts w:hint="default" w:ascii="宋体" w:hAnsi="宋体" w:eastAsia="宋体"/>
                <w:b/>
                <w:i w:val="0"/>
                <w:color w:val="000000"/>
                <w:sz w:val="24"/>
                <w:u w:val="none"/>
                <w:lang w:eastAsia="zh-CN"/>
              </w:rPr>
            </w:pPr>
            <w:r>
              <w:rPr>
                <w:rFonts w:hint="default" w:ascii="宋体" w:hAnsi="宋体" w:eastAsia="宋体"/>
                <w:b/>
                <w:i w:val="0"/>
                <w:color w:val="000000"/>
                <w:sz w:val="24"/>
                <w:u w:val="none"/>
                <w:lang w:eastAsia="zh-CN"/>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20" w:hRule="atLeast"/>
        </w:trPr>
        <w:tc>
          <w:tcPr>
            <w:tcW w:w="10238" w:type="dxa"/>
            <w:gridSpan w:val="11"/>
            <w:vAlign w:val="center"/>
          </w:tcPr>
          <w:p>
            <w:pPr>
              <w:autoSpaceDN w:val="0"/>
              <w:jc w:val="center"/>
              <w:textAlignment w:val="center"/>
              <w:rPr>
                <w:rFonts w:hint="default" w:ascii="宋体" w:hAnsi="宋体" w:eastAsia="宋体"/>
                <w:b w:val="0"/>
                <w:i w:val="0"/>
                <w:color w:val="000000"/>
                <w:sz w:val="20"/>
                <w:u w:val="none"/>
                <w:lang w:eastAsia="zh-CN"/>
              </w:rPr>
            </w:pPr>
            <w:r>
              <w:rPr>
                <w:rFonts w:hint="default" w:ascii="宋体" w:hAnsi="宋体" w:eastAsia="宋体"/>
                <w:b w:val="0"/>
                <w:i w:val="0"/>
                <w:color w:val="000000"/>
                <w:sz w:val="20"/>
                <w:u w:val="none"/>
                <w:lang w:eastAsia="zh-CN"/>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350" w:hRule="atLeast"/>
        </w:trPr>
        <w:tc>
          <w:tcPr>
            <w:tcW w:w="1425" w:type="dxa"/>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0"/>
                <w:u w:val="none"/>
                <w:lang w:eastAsia="zh-CN"/>
              </w:rPr>
            </w:pPr>
            <w:r>
              <w:rPr>
                <w:rFonts w:hint="default" w:ascii="微软雅黑" w:hAnsi="微软雅黑" w:eastAsia="微软雅黑"/>
                <w:b/>
                <w:i w:val="0"/>
                <w:color w:val="000000"/>
                <w:sz w:val="20"/>
                <w:u w:val="none"/>
                <w:lang w:eastAsia="zh-CN"/>
              </w:rPr>
              <w:t>项目支出名称</w:t>
            </w:r>
          </w:p>
        </w:tc>
        <w:tc>
          <w:tcPr>
            <w:tcW w:w="8813" w:type="dxa"/>
            <w:gridSpan w:val="10"/>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教育事业发展经费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312" w:hRule="atLeast"/>
        </w:trPr>
        <w:tc>
          <w:tcPr>
            <w:tcW w:w="1425" w:type="dxa"/>
            <w:vMerge w:val="continue"/>
            <w:tcBorders>
              <w:top w:val="single" w:color="000000" w:sz="8" w:space="0"/>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813" w:type="dxa"/>
            <w:gridSpan w:val="10"/>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68" w:hRule="atLeast"/>
        </w:trPr>
        <w:tc>
          <w:tcPr>
            <w:tcW w:w="1425"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0"/>
                <w:u w:val="none"/>
                <w:lang w:eastAsia="zh-CN"/>
              </w:rPr>
            </w:pPr>
            <w:r>
              <w:rPr>
                <w:rFonts w:hint="default" w:ascii="微软雅黑" w:hAnsi="微软雅黑" w:eastAsia="微软雅黑"/>
                <w:b/>
                <w:i w:val="0"/>
                <w:color w:val="000000"/>
                <w:sz w:val="20"/>
                <w:u w:val="none"/>
                <w:lang w:eastAsia="zh-CN"/>
              </w:rPr>
              <w:t>主管部门</w:t>
            </w:r>
          </w:p>
        </w:tc>
        <w:tc>
          <w:tcPr>
            <w:tcW w:w="3948" w:type="dxa"/>
            <w:gridSpan w:val="4"/>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江永县教育局</w:t>
            </w:r>
          </w:p>
        </w:tc>
        <w:tc>
          <w:tcPr>
            <w:tcW w:w="1344" w:type="dxa"/>
            <w:gridSpan w:val="2"/>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实施单位</w:t>
            </w:r>
          </w:p>
        </w:tc>
        <w:tc>
          <w:tcPr>
            <w:tcW w:w="3521" w:type="dxa"/>
            <w:gridSpan w:val="4"/>
            <w:tcBorders>
              <w:top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江永县城关镇第一小学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39" w:hRule="atLeast"/>
        </w:trPr>
        <w:tc>
          <w:tcPr>
            <w:tcW w:w="1425"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项目资金(万元)</w:t>
            </w:r>
          </w:p>
        </w:tc>
        <w:tc>
          <w:tcPr>
            <w:tcW w:w="1436" w:type="dxa"/>
            <w:gridSpan w:val="2"/>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 xml:space="preserve">     资金来源</w:t>
            </w:r>
          </w:p>
        </w:tc>
        <w:tc>
          <w:tcPr>
            <w:tcW w:w="1328" w:type="dxa"/>
            <w:vMerge w:val="restart"/>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年初预算数</w:t>
            </w:r>
          </w:p>
        </w:tc>
        <w:tc>
          <w:tcPr>
            <w:tcW w:w="1184" w:type="dxa"/>
            <w:vMerge w:val="restart"/>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全年预算数</w:t>
            </w:r>
          </w:p>
        </w:tc>
        <w:tc>
          <w:tcPr>
            <w:tcW w:w="1344" w:type="dxa"/>
            <w:gridSpan w:val="2"/>
            <w:vMerge w:val="restart"/>
            <w:tcBorders>
              <w:top w:val="single" w:color="000000" w:sz="8" w:space="0"/>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全年执行数</w:t>
            </w:r>
          </w:p>
        </w:tc>
        <w:tc>
          <w:tcPr>
            <w:tcW w:w="896" w:type="dxa"/>
            <w:gridSpan w:val="2"/>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分值</w:t>
            </w:r>
          </w:p>
        </w:tc>
        <w:tc>
          <w:tcPr>
            <w:tcW w:w="1323" w:type="dxa"/>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执行率</w:t>
            </w:r>
          </w:p>
        </w:tc>
        <w:tc>
          <w:tcPr>
            <w:tcW w:w="1302" w:type="dxa"/>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29"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1436"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vMerge w:val="continue"/>
            <w:tcBorders>
              <w:left w:val="single" w:color="000000" w:sz="8" w:space="0"/>
              <w:bottom w:val="single" w:color="000000" w:sz="8" w:space="0"/>
            </w:tcBorders>
            <w:vAlign w:val="center"/>
          </w:tcPr>
          <w:p>
            <w:pPr>
              <w:rPr>
                <w:rFonts w:hint="default" w:ascii="宋体" w:hAnsi="宋体"/>
                <w:sz w:val="24"/>
              </w:rPr>
            </w:pPr>
          </w:p>
        </w:tc>
        <w:tc>
          <w:tcPr>
            <w:tcW w:w="1184" w:type="dxa"/>
            <w:vMerge w:val="continue"/>
            <w:tcBorders>
              <w:left w:val="single" w:color="000000" w:sz="8" w:space="0"/>
              <w:bottom w:val="single" w:color="000000" w:sz="8" w:space="0"/>
            </w:tcBorders>
            <w:vAlign w:val="center"/>
          </w:tcPr>
          <w:p>
            <w:pPr>
              <w:rPr>
                <w:rFonts w:hint="default" w:ascii="宋体" w:hAnsi="宋体"/>
                <w:sz w:val="24"/>
              </w:rPr>
            </w:pPr>
          </w:p>
        </w:tc>
        <w:tc>
          <w:tcPr>
            <w:tcW w:w="1344" w:type="dxa"/>
            <w:gridSpan w:val="2"/>
            <w:vMerge w:val="continue"/>
            <w:tcBorders>
              <w:top w:val="single" w:color="000000" w:sz="8" w:space="0"/>
              <w:left w:val="single" w:color="000000" w:sz="8" w:space="0"/>
              <w:bottom w:val="single" w:color="000000" w:sz="8" w:space="0"/>
            </w:tcBorders>
            <w:vAlign w:val="center"/>
          </w:tcPr>
          <w:p>
            <w:pPr>
              <w:rPr>
                <w:rFonts w:hint="default" w:ascii="宋体" w:hAnsi="宋体"/>
                <w:sz w:val="24"/>
              </w:rPr>
            </w:pPr>
          </w:p>
        </w:tc>
        <w:tc>
          <w:tcPr>
            <w:tcW w:w="89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c>
          <w:tcPr>
            <w:tcW w:w="1323" w:type="dxa"/>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c>
          <w:tcPr>
            <w:tcW w:w="1302" w:type="dxa"/>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312"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1436"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vMerge w:val="continue"/>
            <w:tcBorders>
              <w:left w:val="single" w:color="000000" w:sz="8" w:space="0"/>
              <w:bottom w:val="single" w:color="000000" w:sz="8" w:space="0"/>
            </w:tcBorders>
            <w:vAlign w:val="center"/>
          </w:tcPr>
          <w:p>
            <w:pPr>
              <w:rPr>
                <w:rFonts w:hint="default" w:ascii="宋体" w:hAnsi="宋体"/>
                <w:sz w:val="24"/>
              </w:rPr>
            </w:pPr>
          </w:p>
        </w:tc>
        <w:tc>
          <w:tcPr>
            <w:tcW w:w="1184" w:type="dxa"/>
            <w:vMerge w:val="continue"/>
            <w:tcBorders>
              <w:left w:val="single" w:color="000000" w:sz="8" w:space="0"/>
              <w:bottom w:val="single" w:color="000000" w:sz="8" w:space="0"/>
            </w:tcBorders>
            <w:vAlign w:val="center"/>
          </w:tcPr>
          <w:p>
            <w:pPr>
              <w:rPr>
                <w:rFonts w:hint="default" w:ascii="宋体" w:hAnsi="宋体"/>
                <w:sz w:val="24"/>
              </w:rPr>
            </w:pPr>
          </w:p>
        </w:tc>
        <w:tc>
          <w:tcPr>
            <w:tcW w:w="1344" w:type="dxa"/>
            <w:gridSpan w:val="2"/>
            <w:vMerge w:val="continue"/>
            <w:tcBorders>
              <w:top w:val="single" w:color="000000" w:sz="8" w:space="0"/>
              <w:left w:val="single" w:color="000000" w:sz="8" w:space="0"/>
              <w:bottom w:val="single" w:color="000000" w:sz="8" w:space="0"/>
            </w:tcBorders>
            <w:vAlign w:val="center"/>
          </w:tcPr>
          <w:p>
            <w:pPr>
              <w:rPr>
                <w:rFonts w:hint="default" w:ascii="宋体" w:hAnsi="宋体"/>
                <w:sz w:val="24"/>
              </w:rPr>
            </w:pPr>
          </w:p>
        </w:tc>
        <w:tc>
          <w:tcPr>
            <w:tcW w:w="89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c>
          <w:tcPr>
            <w:tcW w:w="1323" w:type="dxa"/>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c>
          <w:tcPr>
            <w:tcW w:w="1302" w:type="dxa"/>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4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436" w:type="dxa"/>
            <w:gridSpan w:val="2"/>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其中:当年财政拨款</w:t>
            </w:r>
          </w:p>
        </w:tc>
        <w:tc>
          <w:tcPr>
            <w:tcW w:w="1328"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118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1344" w:type="dxa"/>
            <w:gridSpan w:val="2"/>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w:t>
            </w:r>
          </w:p>
        </w:tc>
        <w:tc>
          <w:tcPr>
            <w:tcW w:w="1323"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04"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436" w:type="dxa"/>
            <w:gridSpan w:val="2"/>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上年结转金额</w:t>
            </w:r>
          </w:p>
        </w:tc>
        <w:tc>
          <w:tcPr>
            <w:tcW w:w="1328"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118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1344" w:type="dxa"/>
            <w:gridSpan w:val="2"/>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w:t>
            </w:r>
          </w:p>
        </w:tc>
        <w:tc>
          <w:tcPr>
            <w:tcW w:w="1323"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29"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436" w:type="dxa"/>
            <w:gridSpan w:val="2"/>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其它资金</w:t>
            </w:r>
          </w:p>
        </w:tc>
        <w:tc>
          <w:tcPr>
            <w:tcW w:w="1328"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118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1344" w:type="dxa"/>
            <w:gridSpan w:val="2"/>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w:t>
            </w:r>
          </w:p>
        </w:tc>
        <w:tc>
          <w:tcPr>
            <w:tcW w:w="1323"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04"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436" w:type="dxa"/>
            <w:gridSpan w:val="2"/>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年度资金总额</w:t>
            </w:r>
          </w:p>
        </w:tc>
        <w:tc>
          <w:tcPr>
            <w:tcW w:w="1328"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118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1344" w:type="dxa"/>
            <w:gridSpan w:val="2"/>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w:t>
            </w:r>
          </w:p>
        </w:tc>
        <w:tc>
          <w:tcPr>
            <w:tcW w:w="1323"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08" w:hRule="atLeast"/>
        </w:trPr>
        <w:tc>
          <w:tcPr>
            <w:tcW w:w="1425"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0"/>
                <w:u w:val="none"/>
                <w:lang w:eastAsia="zh-CN"/>
              </w:rPr>
            </w:pPr>
            <w:r>
              <w:rPr>
                <w:rFonts w:hint="default" w:ascii="微软雅黑" w:hAnsi="微软雅黑" w:eastAsia="微软雅黑"/>
                <w:b/>
                <w:i w:val="0"/>
                <w:color w:val="000000"/>
                <w:sz w:val="20"/>
                <w:u w:val="none"/>
                <w:lang w:eastAsia="zh-CN"/>
              </w:rPr>
              <w:t>年度总体目标</w:t>
            </w:r>
          </w:p>
        </w:tc>
        <w:tc>
          <w:tcPr>
            <w:tcW w:w="3948" w:type="dxa"/>
            <w:gridSpan w:val="4"/>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预期目标</w:t>
            </w:r>
          </w:p>
        </w:tc>
        <w:tc>
          <w:tcPr>
            <w:tcW w:w="4865" w:type="dxa"/>
            <w:gridSpan w:val="6"/>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99"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3948" w:type="dxa"/>
            <w:gridSpan w:val="4"/>
            <w:vMerge w:val="restart"/>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按照国家政策法规规定和本单位实际情况建立健全财务管理制度和约束机制，依法有效使用财政资金，提高财政资金使用效率，在完成单位职能目标中，合理分配人、财、物，是之达到较高的工作效率和水平。</w:t>
            </w:r>
          </w:p>
        </w:tc>
        <w:tc>
          <w:tcPr>
            <w:tcW w:w="4865" w:type="dxa"/>
            <w:gridSpan w:val="6"/>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99"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3948" w:type="dxa"/>
            <w:gridSpan w:val="4"/>
            <w:vMerge w:val="continue"/>
            <w:tcBorders>
              <w:left w:val="single" w:color="000000" w:sz="8" w:space="0"/>
              <w:bottom w:val="single" w:color="000000" w:sz="8" w:space="0"/>
            </w:tcBorders>
            <w:vAlign w:val="center"/>
          </w:tcPr>
          <w:p>
            <w:pPr>
              <w:rPr>
                <w:rFonts w:hint="default" w:ascii="宋体" w:hAnsi="宋体"/>
                <w:sz w:val="24"/>
              </w:rPr>
            </w:pPr>
          </w:p>
        </w:tc>
        <w:tc>
          <w:tcPr>
            <w:tcW w:w="4865" w:type="dxa"/>
            <w:gridSpan w:val="6"/>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887"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3948" w:type="dxa"/>
            <w:gridSpan w:val="4"/>
            <w:vMerge w:val="continue"/>
            <w:tcBorders>
              <w:left w:val="single" w:color="000000" w:sz="8" w:space="0"/>
              <w:bottom w:val="single" w:color="000000" w:sz="8" w:space="0"/>
            </w:tcBorders>
            <w:vAlign w:val="center"/>
          </w:tcPr>
          <w:p>
            <w:pPr>
              <w:rPr>
                <w:rFonts w:hint="default" w:ascii="宋体" w:hAnsi="宋体"/>
                <w:sz w:val="24"/>
              </w:rPr>
            </w:pPr>
          </w:p>
        </w:tc>
        <w:tc>
          <w:tcPr>
            <w:tcW w:w="4865" w:type="dxa"/>
            <w:gridSpan w:val="6"/>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39" w:hRule="atLeast"/>
        </w:trPr>
        <w:tc>
          <w:tcPr>
            <w:tcW w:w="1425"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2"/>
                <w:u w:val="none"/>
                <w:lang w:eastAsia="zh-CN"/>
              </w:rPr>
            </w:pPr>
            <w:r>
              <w:rPr>
                <w:rFonts w:hint="default" w:ascii="微软雅黑" w:hAnsi="微软雅黑" w:eastAsia="微软雅黑"/>
                <w:b w:val="0"/>
                <w:i w:val="0"/>
                <w:color w:val="000000"/>
                <w:sz w:val="22"/>
                <w:u w:val="none"/>
                <w:lang w:eastAsia="zh-CN"/>
              </w:rPr>
              <w:t>绩效指标</w:t>
            </w:r>
          </w:p>
        </w:tc>
        <w:tc>
          <w:tcPr>
            <w:tcW w:w="569"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一级指标</w:t>
            </w:r>
          </w:p>
        </w:tc>
        <w:tc>
          <w:tcPr>
            <w:tcW w:w="867"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二级指标</w:t>
            </w:r>
          </w:p>
        </w:tc>
        <w:tc>
          <w:tcPr>
            <w:tcW w:w="1328"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三级指标</w:t>
            </w:r>
          </w:p>
        </w:tc>
        <w:tc>
          <w:tcPr>
            <w:tcW w:w="1184" w:type="dxa"/>
            <w:vMerge w:val="restart"/>
            <w:tcBorders>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年度指标值</w:t>
            </w:r>
          </w:p>
        </w:tc>
        <w:tc>
          <w:tcPr>
            <w:tcW w:w="1314" w:type="dxa"/>
            <w:vMerge w:val="restart"/>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实际完成值</w:t>
            </w:r>
          </w:p>
        </w:tc>
        <w:tc>
          <w:tcPr>
            <w:tcW w:w="896" w:type="dxa"/>
            <w:gridSpan w:val="2"/>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分值</w:t>
            </w:r>
          </w:p>
        </w:tc>
        <w:tc>
          <w:tcPr>
            <w:tcW w:w="1353" w:type="dxa"/>
            <w:gridSpan w:val="2"/>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得分</w:t>
            </w:r>
          </w:p>
        </w:tc>
        <w:tc>
          <w:tcPr>
            <w:tcW w:w="1302"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59"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184" w:type="dxa"/>
            <w:vMerge w:val="continue"/>
            <w:tcBorders>
              <w:bottom w:val="single" w:color="000000" w:sz="8" w:space="0"/>
            </w:tcBorders>
            <w:vAlign w:val="center"/>
          </w:tcPr>
          <w:p>
            <w:pPr>
              <w:rPr>
                <w:rFonts w:hint="default" w:ascii="宋体" w:hAnsi="宋体"/>
                <w:sz w:val="24"/>
              </w:rPr>
            </w:pPr>
          </w:p>
        </w:tc>
        <w:tc>
          <w:tcPr>
            <w:tcW w:w="1314" w:type="dxa"/>
            <w:vMerge w:val="continue"/>
            <w:tcBorders>
              <w:left w:val="single" w:color="000000" w:sz="8" w:space="0"/>
              <w:bottom w:val="single" w:color="000000" w:sz="8" w:space="0"/>
            </w:tcBorders>
            <w:vAlign w:val="center"/>
          </w:tcPr>
          <w:p>
            <w:pPr>
              <w:rPr>
                <w:rFonts w:hint="default" w:ascii="宋体" w:hAnsi="宋体"/>
                <w:sz w:val="24"/>
              </w:rPr>
            </w:pPr>
          </w:p>
        </w:tc>
        <w:tc>
          <w:tcPr>
            <w:tcW w:w="896"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53"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02"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54" w:hRule="atLeast"/>
        </w:trPr>
        <w:tc>
          <w:tcPr>
            <w:tcW w:w="1425" w:type="dxa"/>
            <w:tcBorders>
              <w:left w:val="single" w:color="000000" w:sz="8" w:space="0"/>
              <w:right w:val="single" w:color="000000" w:sz="8" w:space="0"/>
            </w:tcBorders>
            <w:vAlign w:val="center"/>
          </w:tcPr>
          <w:p>
            <w:pPr>
              <w:autoSpaceDN w:val="0"/>
              <w:textAlignment w:val="auto"/>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184" w:type="dxa"/>
            <w:vMerge w:val="continue"/>
            <w:tcBorders>
              <w:bottom w:val="single" w:color="000000" w:sz="8" w:space="0"/>
            </w:tcBorders>
            <w:vAlign w:val="center"/>
          </w:tcPr>
          <w:p>
            <w:pPr>
              <w:rPr>
                <w:rFonts w:hint="default" w:ascii="宋体" w:hAnsi="宋体"/>
                <w:sz w:val="24"/>
              </w:rPr>
            </w:pPr>
          </w:p>
        </w:tc>
        <w:tc>
          <w:tcPr>
            <w:tcW w:w="1314" w:type="dxa"/>
            <w:vMerge w:val="continue"/>
            <w:tcBorders>
              <w:left w:val="single" w:color="000000" w:sz="8" w:space="0"/>
              <w:bottom w:val="single" w:color="000000" w:sz="8" w:space="0"/>
            </w:tcBorders>
            <w:vAlign w:val="center"/>
          </w:tcPr>
          <w:p>
            <w:pPr>
              <w:rPr>
                <w:rFonts w:hint="default" w:ascii="宋体" w:hAnsi="宋体"/>
                <w:sz w:val="24"/>
              </w:rPr>
            </w:pPr>
          </w:p>
        </w:tc>
        <w:tc>
          <w:tcPr>
            <w:tcW w:w="896"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53"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02"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266" w:hRule="atLeast"/>
        </w:trPr>
        <w:tc>
          <w:tcPr>
            <w:tcW w:w="1425" w:type="dxa"/>
            <w:vMerge w:val="restart"/>
            <w:tcBorders>
              <w:left w:val="single" w:color="000000" w:sz="8" w:space="0"/>
              <w:right w:val="single" w:color="000000" w:sz="8" w:space="0"/>
            </w:tcBorders>
            <w:vAlign w:val="center"/>
          </w:tcPr>
          <w:p>
            <w:pPr>
              <w:rPr>
                <w:rFonts w:hint="default" w:ascii="宋体" w:hAnsi="宋体"/>
                <w:sz w:val="24"/>
              </w:rPr>
            </w:pPr>
          </w:p>
        </w:tc>
        <w:tc>
          <w:tcPr>
            <w:tcW w:w="569"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产出指标</w:t>
            </w:r>
          </w:p>
        </w:tc>
        <w:tc>
          <w:tcPr>
            <w:tcW w:w="867"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数量指标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教师节慰问金发放人数</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239人</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239人</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7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班主任津贴发放人数</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127人</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127人</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遗属人员</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2人</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2人</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7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课后服务发放人数</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141人</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141人</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6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质量指标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教师慰问金发放完成率</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06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班主任津贴发放完成率</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100&amp;</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6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遗属生活补助发放完成率</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7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课后服务发放完成率</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0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时效指标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完成时间</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2023年12月31日完成</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2023年12月31日完成</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05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效益指标</w:t>
            </w: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经济效益指标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提高教师生活水平</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提高教师生活水平</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提高教师生活水平</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4.00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632"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社会效益指标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促进教育教学工作全面开展</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促进教育教学工作全面开展</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促进教育教学工作全面开展</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26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生态效益指标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26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可持续影响指标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可持续性影响</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可持续性</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可持续性</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满意度指标</w:t>
            </w: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服务对象满意度指标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教师群体满意度</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成本指标</w:t>
            </w:r>
          </w:p>
        </w:tc>
        <w:tc>
          <w:tcPr>
            <w:tcW w:w="867"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经济成本指标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教师节慰问金支出</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12.54万</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12.54万</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班主任津贴支出</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34.29万</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34.29万</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遗属生活补助支出</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1.66万</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1.66万</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课后服务支出</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97.6万</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97.6万</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26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社会成本指标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资金使用合规</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合规</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合规</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0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生态环境成本指标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63" w:hRule="atLeast"/>
        </w:trPr>
        <w:tc>
          <w:tcPr>
            <w:tcW w:w="6687" w:type="dxa"/>
            <w:gridSpan w:val="6"/>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总分</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99.00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bl>
    <w:p>
      <w:pPr>
        <w:widowControl/>
        <w:spacing w:line="560" w:lineRule="exact"/>
        <w:jc w:val="center"/>
        <w:rPr>
          <w:rFonts w:eastAsia="方正小标宋_GBK"/>
          <w:color w:val="000000"/>
          <w:kern w:val="0"/>
          <w:sz w:val="44"/>
          <w:szCs w:val="44"/>
        </w:rPr>
      </w:pPr>
    </w:p>
    <w:p>
      <w:pPr>
        <w:rPr>
          <w:rFonts w:hint="eastAsia"/>
          <w:lang w:val="en-US" w:eastAsia="zh-CN"/>
        </w:rPr>
      </w:pPr>
      <w:r>
        <w:rPr>
          <w:rFonts w:hint="eastAsia"/>
          <w:lang w:val="en-US" w:eastAsia="zh-CN"/>
        </w:rPr>
        <w:t xml:space="preserve">             </w:t>
      </w:r>
    </w:p>
    <w:p>
      <w:pPr>
        <w:rPr>
          <w:rFonts w:hint="eastAsia"/>
          <w:lang w:val="en-US" w:eastAsia="zh-CN"/>
        </w:rPr>
      </w:pPr>
    </w:p>
    <w:p>
      <w:pPr>
        <w:rPr>
          <w:rFonts w:hint="default"/>
          <w:lang w:val="en-US" w:eastAsia="zh-CN"/>
        </w:rPr>
      </w:pPr>
      <w:r>
        <w:rPr>
          <w:rFonts w:hint="eastAsia" w:ascii="宋体" w:hAnsi="宋体"/>
          <w:sz w:val="28"/>
          <w:szCs w:val="28"/>
          <w:lang w:val="en-US" w:eastAsia="zh-CN"/>
        </w:rPr>
        <w:t xml:space="preserve">        </w:t>
      </w:r>
    </w:p>
    <w:p>
      <w:pPr>
        <w:rPr>
          <w:rFonts w:hint="default"/>
          <w:lang w:val="en-US" w:eastAsia="zh-CN"/>
        </w:rPr>
      </w:pPr>
    </w:p>
    <w:p>
      <w:pPr>
        <w:widowControl/>
        <w:spacing w:line="560" w:lineRule="exact"/>
        <w:ind w:firstLine="1320" w:firstLineChars="300"/>
        <w:jc w:val="both"/>
        <w:rPr>
          <w:rFonts w:ascii="黑体" w:hAnsi="黑体" w:eastAsia="黑体"/>
          <w:kern w:val="0"/>
          <w:sz w:val="44"/>
          <w:szCs w:val="44"/>
        </w:rPr>
      </w:pPr>
      <w:r>
        <w:rPr>
          <w:rFonts w:hint="eastAsia" w:ascii="黑体" w:hAnsi="黑体" w:eastAsia="黑体"/>
          <w:kern w:val="0"/>
          <w:sz w:val="44"/>
          <w:szCs w:val="44"/>
        </w:rPr>
        <w:t>江永县</w:t>
      </w:r>
      <w:r>
        <w:rPr>
          <w:rFonts w:hint="eastAsia" w:ascii="黑体" w:hAnsi="黑体" w:eastAsia="黑体"/>
          <w:kern w:val="0"/>
          <w:sz w:val="44"/>
          <w:szCs w:val="44"/>
          <w:lang w:eastAsia="zh-CN"/>
        </w:rPr>
        <w:t>第一小学</w:t>
      </w:r>
      <w:r>
        <w:rPr>
          <w:rFonts w:ascii="黑体" w:hAnsi="黑体" w:eastAsia="黑体"/>
          <w:kern w:val="0"/>
          <w:sz w:val="44"/>
          <w:szCs w:val="44"/>
        </w:rPr>
        <w:t>专项（项目）</w:t>
      </w:r>
    </w:p>
    <w:p>
      <w:pPr>
        <w:widowControl/>
        <w:spacing w:line="560" w:lineRule="exact"/>
        <w:jc w:val="center"/>
        <w:rPr>
          <w:rFonts w:ascii="黑体" w:hAnsi="黑体" w:eastAsia="黑体"/>
          <w:kern w:val="0"/>
          <w:sz w:val="44"/>
          <w:szCs w:val="44"/>
        </w:rPr>
      </w:pPr>
      <w:r>
        <w:rPr>
          <w:rFonts w:ascii="黑体" w:hAnsi="黑体" w:eastAsia="黑体"/>
          <w:kern w:val="0"/>
          <w:sz w:val="44"/>
          <w:szCs w:val="44"/>
        </w:rPr>
        <w:t>资金绩效评价表</w:t>
      </w:r>
    </w:p>
    <w:tbl>
      <w:tblPr>
        <w:tblStyle w:val="5"/>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6"/>
        <w:gridCol w:w="710"/>
        <w:gridCol w:w="1275"/>
        <w:gridCol w:w="3080"/>
        <w:gridCol w:w="4502"/>
        <w:gridCol w:w="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nil"/>
              <w:right w:val="single" w:color="auto" w:sz="4" w:space="0"/>
            </w:tcBorders>
            <w:vAlign w:val="center"/>
          </w:tcPr>
          <w:p>
            <w:pPr>
              <w:widowControl/>
              <w:jc w:val="center"/>
              <w:rPr>
                <w:rFonts w:eastAsia="仿宋_GB2312"/>
                <w:b/>
                <w:bCs/>
                <w:color w:val="000000"/>
                <w:kern w:val="0"/>
                <w:sz w:val="20"/>
                <w:szCs w:val="20"/>
              </w:rPr>
            </w:pPr>
            <w:r>
              <w:rPr>
                <w:b/>
                <w:bCs/>
                <w:color w:val="000000"/>
                <w:kern w:val="0"/>
                <w:sz w:val="20"/>
                <w:szCs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56" w:type="dxa"/>
            <w:tcBorders>
              <w:top w:val="nil"/>
              <w:left w:val="single" w:color="auto" w:sz="4" w:space="0"/>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85" w:type="dxa"/>
            <w:vMerge w:val="continue"/>
            <w:tcBorders>
              <w:top w:val="single" w:color="auto" w:sz="4" w:space="0"/>
              <w:left w:val="nil"/>
              <w:bottom w:val="nil"/>
              <w:right w:val="single" w:color="auto" w:sz="4" w:space="0"/>
            </w:tcBorders>
            <w:vAlign w:val="center"/>
          </w:tcPr>
          <w:p>
            <w:pPr>
              <w:widowControl/>
              <w:jc w:val="left"/>
              <w:rPr>
                <w:rFonts w:eastAsia="仿宋_GB2312"/>
                <w:b/>
                <w:bCs/>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85" w:type="dxa"/>
            <w:tcBorders>
              <w:top w:val="nil"/>
              <w:left w:val="nil"/>
              <w:bottom w:val="nil"/>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vAlign w:val="center"/>
          </w:tcPr>
          <w:p>
            <w:pPr>
              <w:jc w:val="center"/>
              <w:rPr>
                <w:rFonts w:ascii="仿宋_GB2312" w:hAnsi="宋体"/>
                <w:color w:val="000000"/>
                <w:kern w:val="0"/>
                <w:sz w:val="20"/>
                <w:szCs w:val="20"/>
              </w:rPr>
            </w:pPr>
            <w:r>
              <w:rPr>
                <w:rFonts w:ascii="仿宋_GB2312" w:hAnsi="宋体"/>
                <w:color w:val="000000"/>
                <w:kern w:val="0"/>
                <w:sz w:val="20"/>
                <w:szCs w:val="20"/>
              </w:rPr>
              <w:t>过程</w:t>
            </w:r>
          </w:p>
          <w:p>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85" w:type="dxa"/>
            <w:tcBorders>
              <w:top w:val="single" w:color="auto" w:sz="4" w:space="0"/>
              <w:left w:val="single" w:color="auto" w:sz="4" w:space="0"/>
              <w:bottom w:val="single" w:color="auto" w:sz="4" w:space="0"/>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single" w:color="auto" w:sz="4" w:space="0"/>
              <w:left w:val="single" w:color="auto" w:sz="4" w:space="0"/>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single" w:color="auto" w:sz="4" w:space="0"/>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single" w:color="auto" w:sz="4" w:space="0"/>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single" w:color="auto" w:sz="4" w:space="0"/>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single" w:color="auto" w:sz="4" w:space="0"/>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restart"/>
            <w:tcBorders>
              <w:top w:val="single" w:color="auto" w:sz="4" w:space="0"/>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hint="eastAsia" w:ascii="仿宋_GB2312" w:hAnsi="宋体"/>
                <w:color w:val="000000"/>
                <w:kern w:val="0"/>
                <w:sz w:val="20"/>
                <w:szCs w:val="20"/>
              </w:rPr>
            </w:pPr>
            <w:r>
              <w:rPr>
                <w:rFonts w:ascii="仿宋_GB2312" w:hAnsi="宋体"/>
                <w:color w:val="000000"/>
                <w:kern w:val="0"/>
                <w:sz w:val="20"/>
                <w:szCs w:val="20"/>
              </w:rPr>
              <w:t>④是否符合项目预算批复或合同规定的用途；</w:t>
            </w:r>
          </w:p>
          <w:p>
            <w:pPr>
              <w:widowControl/>
              <w:rPr>
                <w:rFonts w:hint="eastAsia"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4"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single" w:color="auto" w:sz="4" w:space="0"/>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6"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single" w:color="auto" w:sz="4" w:space="0"/>
              <w:left w:val="single" w:color="auto" w:sz="4" w:space="0"/>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single" w:color="auto" w:sz="4" w:space="0"/>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single" w:color="auto" w:sz="4" w:space="0"/>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single" w:color="auto" w:sz="4" w:space="0"/>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single" w:color="auto" w:sz="4" w:space="0"/>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效果</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85" w:type="dxa"/>
            <w:tcBorders>
              <w:top w:val="nil"/>
              <w:left w:val="nil"/>
              <w:bottom w:val="single" w:color="auto"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366" w:type="dxa"/>
            <w:gridSpan w:val="2"/>
            <w:tcBorders>
              <w:top w:val="single" w:color="auto" w:sz="4" w:space="0"/>
              <w:left w:val="single" w:color="auto" w:sz="4" w:space="0"/>
              <w:bottom w:val="single" w:color="auto" w:sz="4" w:space="0"/>
              <w:right w:val="single" w:color="auto" w:sz="4" w:space="0"/>
            </w:tcBorders>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10" w:usb3="00000000" w:csb0="00040000" w:csb1="00000000"/>
  </w:font>
  <w:font w:name="CESI楷体-GB2312">
    <w:altName w:val="宋体"/>
    <w:panose1 w:val="02000500000000000000"/>
    <w:charset w:val="86"/>
    <w:family w:val="auto"/>
    <w:pitch w:val="default"/>
    <w:sig w:usb0="00000000" w:usb1="00000000" w:usb2="00000012"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Microsoft YaHei UI">
    <w:altName w:val="宋体"/>
    <w:panose1 w:val="020B0503020204020204"/>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39A6F6"/>
    <w:multiLevelType w:val="singleLevel"/>
    <w:tmpl w:val="6639A6F6"/>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lignBordersAndEdg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SO_WPS_MARK_KEY" w:val="3fc5ff69-aefe-4e35-80fb-70e59f51d272"/>
  </w:docVars>
  <w:rsids>
    <w:rsidRoot w:val="00000000"/>
    <w:rsid w:val="596A347D"/>
    <w:rsid w:val="5B3D42F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eastAsia="宋体" w:cs="宋体"/>
      <w:b/>
      <w:kern w:val="44"/>
      <w:sz w:val="48"/>
      <w:szCs w:val="48"/>
      <w:lang w:val="en-US" w:eastAsia="zh-CN"/>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99"/>
    <w:pPr>
      <w:ind w:firstLine="420" w:firstLineChars="200"/>
    </w:pPr>
    <w:rPr>
      <w:rFonts w:ascii="Calibri" w:hAnsi="Calibri" w:eastAsia="宋体" w:cs="Times New Roman"/>
      <w:szCs w:val="22"/>
    </w:rPr>
  </w:style>
  <w:style w:type="character" w:customStyle="1" w:styleId="8">
    <w:name w:val="页眉 Char Char"/>
    <w:basedOn w:val="6"/>
    <w:link w:val="4"/>
    <w:uiPriority w:val="99"/>
    <w:rPr>
      <w:rFonts w:ascii="Calibri" w:hAnsi="Calibri" w:eastAsia="宋体" w:cs="黑体"/>
      <w:kern w:val="2"/>
      <w:sz w:val="18"/>
      <w:szCs w:val="18"/>
    </w:rPr>
  </w:style>
  <w:style w:type="character" w:customStyle="1" w:styleId="9">
    <w:name w:val="页脚 Char Char"/>
    <w:basedOn w:val="6"/>
    <w:link w:val="3"/>
    <w:uiPriority w:val="99"/>
    <w:rPr>
      <w:rFonts w:ascii="Calibri" w:hAnsi="Calibri" w:eastAsia="宋体" w:cs="黑体"/>
      <w:kern w:val="2"/>
      <w:sz w:val="18"/>
      <w:szCs w:val="18"/>
    </w:rPr>
  </w:style>
  <w:style w:type="character" w:customStyle="1" w:styleId="10">
    <w:name w:val="font21"/>
    <w:basedOn w:val="6"/>
    <w:qFormat/>
    <w:uiPriority w:val="0"/>
    <w:rPr>
      <w:rFonts w:hint="eastAsia" w:ascii="宋体" w:hAnsi="宋体" w:eastAsia="宋体" w:cs="宋体"/>
      <w:color w:val="000000"/>
      <w:sz w:val="22"/>
      <w:szCs w:val="22"/>
      <w:u w:val="none"/>
    </w:rPr>
  </w:style>
  <w:style w:type="character" w:customStyle="1" w:styleId="11">
    <w:name w:val="font41"/>
    <w:basedOn w:val="6"/>
    <w:qFormat/>
    <w:uiPriority w:val="0"/>
    <w:rPr>
      <w:rFonts w:ascii="Calibri" w:hAnsi="Calibri" w:cs="Calibri"/>
      <w:color w:val="000000"/>
      <w:sz w:val="21"/>
      <w:szCs w:val="21"/>
      <w:u w:val="none"/>
    </w:rPr>
  </w:style>
  <w:style w:type="character" w:customStyle="1" w:styleId="12">
    <w:name w:val="font81"/>
    <w:basedOn w:val="6"/>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7699</Words>
  <Characters>8329</Characters>
  <Lines>38</Lines>
  <Paragraphs>10</Paragraphs>
  <TotalTime>82</TotalTime>
  <ScaleCrop>false</ScaleCrop>
  <LinksUpToDate>false</LinksUpToDate>
  <CharactersWithSpaces>8913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2024-03-19T07:04:00Z</dcterms:created>
  <dc:creator>Administrator</dc:creator>
  <cp:lastModifiedBy>Administrator</cp:lastModifiedBy>
  <cp:lastPrinted>2024-05-07T03:30:00Z</cp:lastPrinted>
  <dcterms:modified xsi:type="dcterms:W3CDTF">2024-10-08T08:00:26Z</dcterms:modified>
  <dc:title>2023年度江永县第一小学整体支出绩效自评报告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6FC036E7A0FC4AECAADCA44A04BAF832_13</vt:lpwstr>
  </property>
</Properties>
</file>